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le-公开契约补齐与-ai-初标报告"/>
    <w:p>
      <w:pPr>
        <w:pStyle w:val="Title"/>
      </w:pPr>
      <w:r>
        <w:rPr>
          <w:color w:val="000000"/>
        </w:rPr>
        <w:t xml:space="preserve">CLE </w:t>
      </w:r>
      <w:r>
        <w:rPr>
          <w:rFonts w:hint="eastAsia"/>
          <w:color w:val="000000"/>
        </w:rPr>
        <w:t xml:space="preserve">公开契约补齐与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 xml:space="preserve">初标报告</w:t>
      </w:r>
    </w:p>
    <w:p>
      <w:pPr>
        <w:pStyle w:val="FirstParagraph"/>
      </w:pPr>
      <w:r>
        <w:rPr>
          <w:rFonts w:hint="eastAsia"/>
          <w:color w:val="000000"/>
        </w:rPr>
        <w:t xml:space="preserve">日期：2026-10-17。协议：cle-retrieval-q-v2-public-contract。旧协议的停止记录及原始数据均保留。</w:t>
      </w:r>
    </w:p>
    <w:p>
      <w:pPr>
        <w:pStyle w:val="BodyText"/>
      </w:pPr>
      <w:r>
        <w:rPr>
          <w:rFonts w:hint="eastAsia"/>
          <w:color w:val="000000"/>
        </w:rPr>
        <w:t xml:space="preserve">本轮已补齐102、136的外部依赖说明，14道题通过原生参考F/S与有限上下文预检；完成三种查询的共同候选池及全部914对AI初标，并导出人工复核材料。目前停在等待人工确认阶段，未运行P7开发或预留确认。模型估计不能替代人工金标准。</w:t>
      </w:r>
    </w:p>
    <w:bookmarkStart w:id="9" w:name="和-136-原来缺什么"/>
    <w:p>
      <w:pPr>
        <w:pStyle w:val="Heading2"/>
      </w:pPr>
      <w:r>
        <w:rPr>
          <w:color w:val="000000"/>
        </w:rPr>
        <w:t xml:space="preserve">102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136 </w:t>
      </w:r>
      <w:r>
        <w:rPr>
          <w:rFonts w:hint="eastAsia"/>
          <w:color w:val="000000"/>
        </w:rPr>
        <w:t xml:space="preserve">原来缺什么</w:t>
      </w:r>
    </w:p>
    <w:p>
      <w:pPr>
        <w:pStyle w:val="FirstParagraph"/>
      </w:pPr>
      <w:r>
        <w:rPr>
          <w:rFonts w:hint="eastAsia"/>
          <w:color w:val="000000"/>
        </w:rPr>
        <w:t xml:space="preserve">两题的本地记录与E盘完整归档相同。问题在于公开题面缺少运行依赖的名称和接口：参考代码可以在原夹具中运行，但生成器没有完整的公开上下文。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2"/>
        <w:gridCol w:w="1950"/>
        <w:gridCol w:w="2730"/>
        <w:gridCol w:w="3607"/>
      </w:tblGrid>
      <w:tr>
        <w:trPr>
          <w:tblHeader w:val="on"/>
          <w:cantSplit/>
          <w:tblHeader/>
        </w:trPr>
        <w:tc>
          <w:tcPr>
            <w:tcW w:type="dxa" w:w="1462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题目</w:t>
            </w:r>
          </w:p>
        </w:tc>
        <w:tc>
          <w:tcPr>
            <w:tcW w:type="dxa" w:w="1950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原公开说明</w:t>
            </w:r>
          </w:p>
        </w:tc>
        <w:tc>
          <w:tcPr>
            <w:tcW w:type="dxa" w:w="2730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原参考与夹具的依赖</w:t>
            </w:r>
          </w:p>
        </w:tc>
        <w:tc>
          <w:tcPr>
            <w:tcW w:type="dxa" w:w="3607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本轮公开补充</w:t>
            </w:r>
          </w:p>
        </w:tc>
      </w:tr>
      <w:tr>
        <w:trPr>
          <w:cantSplit/>
        </w:trPr>
        <w:tc>
          <w:tcPr>
            <w:tcW w:type="dxa" w:w="1462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102</w:t>
            </w:r>
          </w:p>
        </w:tc>
        <w:tc>
          <w:tcPr>
            <w:tcW w:type="dxa" w:w="1950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描述解码后校验JSON键名，但未命名外部校验器</w:t>
            </w:r>
          </w:p>
        </w:tc>
        <w:tc>
          <w:tcPr>
            <w:tcW w:type="dxa" w:w="2730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valid_key_pattern与unquote</w:t>
            </w:r>
          </w:p>
        </w:tc>
        <w:tc>
          <w:tcPr>
            <w:tcW w:type="dxa" w:w="3607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声明提供re、unquote及编译后的re.Pattern[str]校验器，按原键名规则使用外部绑定</w:t>
            </w:r>
          </w:p>
        </w:tc>
      </w:tr>
      <w:tr>
        <w:trPr>
          <w:cantSplit/>
        </w:trPr>
        <w:tc>
          <w:tcPr>
            <w:tcW w:type="dxa" w:w="1462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136</w:t>
            </w:r>
          </w:p>
        </w:tc>
        <w:tc>
          <w:tcPr>
            <w:tcW w:type="dxa" w:w="1950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介绍Patient类和报告模板，没有说明如何按ID取患者</w:t>
            </w:r>
          </w:p>
        </w:tc>
        <w:tc>
          <w:tcPr>
            <w:tcW w:type="dxa" w:w="2730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patients映射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声明提供按字符串ID映射到既有Patient对象的patients，不自行重建记录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新协议通过public_contract_overrides.json在内存中追加task_description.context。原始data.json、参数/返回/异常字段、参考代码、测试和经验库均未改写。公开补充没有包含正则字面值、患者实例、测试输入、期望输出或参考修复实现。这是一次公开上下文修订，因此新旧协议结果分开报告。</w:t>
      </w:r>
    </w:p>
    <w:bookmarkEnd w:id="9"/>
    <w:bookmarkStart w:id="10" w:name="重新预检的结果"/>
    <w:p>
      <w:pPr>
        <w:pStyle w:val="Heading2"/>
      </w:pPr>
      <w:r>
        <w:rPr>
          <w:rFonts w:hint="eastAsia"/>
          <w:color w:val="000000"/>
        </w:rPr>
        <w:t xml:space="preserve">重新预检的结果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5"/>
        <w:gridCol w:w="3607"/>
        <w:gridCol w:w="3997"/>
      </w:tblGrid>
      <w:tr>
        <w:trPr>
          <w:tblHeader w:val="on"/>
          <w:cantSplit/>
          <w:tblHeader/>
        </w:trPr>
        <w:tc>
          <w:tcPr>
            <w:tcW w:type="dxa" w:w="2145"/>
            <w:shd w:fill="F0F2F4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校准题</w:t>
            </w:r>
          </w:p>
        </w:tc>
        <w:tc>
          <w:tcPr>
            <w:tcW w:type="dxa" w:w="3607"/>
            <w:shd w:fill="F0F2F4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原生参考状态</w:t>
            </w:r>
          </w:p>
        </w:tc>
        <w:tc>
          <w:tcPr>
            <w:tcW w:type="dxa" w:w="3997"/>
            <w:shd w:fill="F0F2F4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未公开依赖名检查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1394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pass/pass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102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pass/pass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136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pass/pass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1289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pass/pass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1298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pass/pass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1304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pass/pass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8道开发题为1006、1017、1061、1065、1066、1067、1070、792，参考F/S均通过。名单和24道预留确认题没有替换。本检查仅覆盖原生参考可运行性和有限的依赖绑定，不保证整个PLT不存在其他语义或契约缺陷。开发题集中于字段更新、HTML和权限，不能代表全部CWE。</w:t>
      </w:r>
    </w:p>
    <w:bookmarkEnd w:id="10"/>
    <w:bookmarkStart w:id="11" w:name="候选池和-ai-初标"/>
    <w:p>
      <w:pPr>
        <w:pStyle w:val="Heading2"/>
      </w:pPr>
      <w:r>
        <w:rPr>
          <w:rFonts w:hint="eastAsia"/>
          <w:color w:val="000000"/>
        </w:rPr>
        <w:t xml:space="preserve">候选池和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 xml:space="preserve">初标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固定卡库1939张；每次查询1933张符合当前检索资格，6张因card_budget_exceeded（卡片正文超现有长度上限）排除。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14道题各生成一次共享初析；每题使用原题、纯初析、原题加初析三种查询。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共同评价池是三查询候选并集加每题16张随机未召回卡，共914个不重复题卡对。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AI新判断892对；完全一致的旧公开题卡标签复用22对；技术失败0对。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盲评不显示实验臂、排名、Q值或卡片来源题号；由gpt-4o判断，初析模型仍为deepseek-v3.2。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5"/>
        <w:gridCol w:w="3607"/>
        <w:gridCol w:w="3997"/>
      </w:tblGrid>
      <w:tr>
        <w:trPr>
          <w:tblHeader w:val="on"/>
          <w:cantSplit/>
          <w:tblHeader/>
        </w:trPr>
        <w:tc>
          <w:tcPr>
            <w:tcW w:type="dxa" w:w="2145"/>
            <w:shd w:fill="F0F2F4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AI标签</w:t>
            </w:r>
          </w:p>
        </w:tc>
        <w:tc>
          <w:tcPr>
            <w:tcW w:type="dxa" w:w="3607"/>
            <w:shd w:fill="F0F2F4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通俗含义</w:t>
            </w:r>
          </w:p>
        </w:tc>
        <w:tc>
          <w:tcPr>
            <w:tcW w:type="dxa" w:w="3997"/>
            <w:shd w:fill="F0F2F4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direct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直接适用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89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conditional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需要额外前提或实质改写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385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irrelevant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无关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285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conflict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技术错误或契约冲突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153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insufficient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信息不足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technical_error</w:t>
            </w:r>
          </w:p>
        </w:tc>
        <w:tc>
          <w:tcPr>
            <w:tcW w:type="dxa" w:w="360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技术失败而非不适用</w:t>
            </w:r>
          </w:p>
        </w:tc>
        <w:tc>
          <w:tcPr>
            <w:tcW w:type="dxa" w:w="3997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0</w:t>
            </w:r>
          </w:p>
        </w:tc>
      </w:tr>
    </w:tbl>
    <w:bookmarkEnd w:id="11"/>
    <w:bookmarkStart w:id="12" w:name="模型辅助四指标"/>
    <w:p>
      <w:pPr>
        <w:pStyle w:val="Heading2"/>
      </w:pPr>
      <w:r>
        <w:rPr>
          <w:rFonts w:hint="eastAsia"/>
          <w:color w:val="000000"/>
        </w:rPr>
        <w:t xml:space="preserve">模型辅助四指标</w:t>
      </w:r>
    </w:p>
    <w:p>
      <w:pPr>
        <w:pStyle w:val="FirstParagraph"/>
      </w:pPr>
      <w:r>
        <w:rPr>
          <w:rFonts w:hint="eastAsia"/>
          <w:color w:val="000000"/>
        </w:rPr>
        <w:t xml:space="preserve">TP为正确选入，FP为错误选入，FN为漏选，TN为正确未选。准确率=(TP+TN)/全部评价对；精确率=TP/(TP+FP)；召回率=TP/(TP+FN)；F1=2TP/(2TP+FP+FN)。这里只能计算候选池内的模型估计；全库召回率未测量。未标注、信息不足和零分母保留空值及原因。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on"/>
          <w:cantSplit/>
          <w:tblHeader/>
        </w:trPr>
        <w:tc>
          <w:tcPr>
            <w:tcW w:type="dxa" w:w="1625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阶段</w:t>
            </w:r>
          </w:p>
        </w:tc>
        <w:tc>
          <w:tcPr>
            <w:tcW w:type="dxa" w:w="1625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设置</w:t>
            </w:r>
          </w:p>
        </w:tc>
        <w:tc>
          <w:tcPr>
            <w:tcW w:type="dxa" w:w="1625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准确率</w:t>
            </w:r>
          </w:p>
        </w:tc>
        <w:tc>
          <w:tcPr>
            <w:tcW w:type="dxa" w:w="1625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精确率</w:t>
            </w:r>
          </w:p>
        </w:tc>
        <w:tc>
          <w:tcPr>
            <w:tcW w:type="dxa" w:w="1625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候选池召回率</w:t>
            </w:r>
          </w:p>
        </w:tc>
        <w:tc>
          <w:tcPr>
            <w:tcW w:type="dxa" w:w="1625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b/>
                <w:color w:val="000000"/>
                <w:sz w:val="20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calibration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R0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calibration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R-query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development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R0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0.8718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0.0000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0.0000</w:t>
            </w:r>
          </w:p>
        </w:tc>
        <w:tc>
          <w:tcPr>
            <w:tcW w:type="dxa" w:w="1625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0.0000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development</w:t>
            </w:r>
          </w:p>
        </w:tc>
        <w:tc>
          <w:tcPr>
            <w:tcW w:type="dxa" w:w="162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R-query</w:t>
            </w:r>
          </w:p>
        </w:tc>
        <w:tc>
          <w:tcPr>
            <w:tcW w:type="dxa" w:w="162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0.8835</w:t>
            </w:r>
          </w:p>
        </w:tc>
        <w:tc>
          <w:tcPr>
            <w:tcW w:type="dxa" w:w="162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未定义</w:t>
            </w:r>
          </w:p>
        </w:tc>
        <w:tc>
          <w:tcPr>
            <w:tcW w:type="dxa" w:w="162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0.0000</w:t>
            </w:r>
          </w:p>
        </w:tc>
        <w:tc>
          <w:tcPr>
            <w:tcW w:type="dxa" w:w="1625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0.0000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R0沿用原题加初析和原δ门槛；R-query仅用原题，门槛相同。所有方法共享每题评价池。准确率会受大量TN影响，不能单独说明检索优秀；这些模型估计不用于锁定R*或推进P7。</w:t>
      </w:r>
    </w:p>
    <w:p>
      <w:pPr>
        <w:pStyle w:val="BodyText"/>
      </w:pPr>
      <w:r>
        <w:rPr>
          <w:rFonts w:hint="eastAsia"/>
          <w:color w:val="000000"/>
        </w:rPr>
        <w:t xml:space="preserve">校准集的2条insufficient尚待裁决，因此整组四指标留空，并非运行失败。开发集R-query没有任何卡通过原门槛，精确率因分母为0留空。</w:t>
      </w:r>
    </w:p>
    <w:p>
      <w:pPr>
        <w:pStyle w:val="BodyText"/>
      </w:pPr>
      <w:r>
        <w:rPr>
          <w:rFonts w:hint="eastAsia"/>
          <w:color w:val="000000"/>
        </w:rPr>
        <w:t xml:space="preserve">开发集的模型估计提示两个不同瓶颈：R0最终选入6张卡，直接适用为0；R-query在初始候选中覆盖54/60张池内直接适用卡，但最终选入0张。因此原题查询的候选召回较好，并不等于原门槛下能够交付合适卡。上述为待人工确认的诊断线索，不据此提前调门槛或判断Q有效性。</w:t>
      </w:r>
    </w:p>
    <w:p>
      <w:pPr>
        <w:pStyle w:val="BodyText"/>
      </w:pPr>
      <w:r>
        <w:rPr>
          <w:rFonts w:hint="eastAsia"/>
          <w:color w:val="000000"/>
        </w:rPr>
        <w:t xml:space="preserve">102题的R0最终空返回；AI在共同池标出7张直接适用卡，原题查询初始候选覆盖其中6张，但原门槛下仍空返回。136题的共同池没有AI判为direct的卡，R0最终选入3张、其中1张被判conflict。前者提示召回和门槛问题，后者提示覆盖与适用性问题；两题都应作为人工复核重点。</w:t>
      </w:r>
    </w:p>
    <w:bookmarkEnd w:id="12"/>
    <w:bookmarkStart w:id="13" w:name="成本和冻结边界"/>
    <w:p>
      <w:pPr>
        <w:pStyle w:val="Heading2"/>
      </w:pPr>
      <w:r>
        <w:rPr>
          <w:rFonts w:hint="eastAsia"/>
          <w:color w:val="000000"/>
        </w:rPr>
        <w:t xml:space="preserve">成本和冻结边界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on"/>
          <w:cantSplit/>
          <w:tblHeader/>
        </w:trPr>
        <w:tc>
          <w:tcPr>
            <w:tcW w:type="dxa" w:w="1950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用途</w:t>
            </w:r>
          </w:p>
        </w:tc>
        <w:tc>
          <w:tcPr>
            <w:tcW w:type="dxa" w:w="1950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逻辑LLM调用</w:t>
            </w:r>
          </w:p>
        </w:tc>
        <w:tc>
          <w:tcPr>
            <w:tcW w:type="dxa" w:w="1950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输入Token</w:t>
            </w:r>
          </w:p>
        </w:tc>
        <w:tc>
          <w:tcPr>
            <w:tcW w:type="dxa" w:w="1950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输出Token</w:t>
            </w:r>
          </w:p>
        </w:tc>
        <w:tc>
          <w:tcPr>
            <w:tcW w:type="dxa" w:w="1950"/>
            <w:shd w:fill="F0F2F4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合计Token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共享初析</w:t>
            </w:r>
          </w:p>
        </w:tc>
        <w:tc>
          <w:tcPr>
            <w:tcW w:type="dxa" w:w="1950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14</w:t>
            </w:r>
          </w:p>
        </w:tc>
        <w:tc>
          <w:tcPr>
            <w:tcW w:type="dxa" w:w="1950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7938</w:t>
            </w:r>
          </w:p>
        </w:tc>
        <w:tc>
          <w:tcPr>
            <w:tcW w:type="dxa" w:w="1950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12597</w:t>
            </w:r>
          </w:p>
        </w:tc>
        <w:tc>
          <w:tcPr>
            <w:tcW w:type="dxa" w:w="1950"/>
          </w:tcPr>
          <w:p>
            <w:pPr>
              <w:pStyle w:val="Compact"/>
              <w:keepNext/>
              <w:spacing w:after="60" w:line="269" w:lineRule="auto"/>
            </w:pPr>
            <w:r>
              <w:rPr>
                <w:color w:val="000000"/>
                <w:sz w:val="20"/>
              </w:rPr>
              <w:t xml:space="preserve">20535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AI盲评</w:t>
            </w:r>
          </w:p>
        </w:tc>
        <w:tc>
          <w:tcPr>
            <w:tcW w:type="dxa" w:w="1950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892</w:t>
            </w:r>
          </w:p>
        </w:tc>
        <w:tc>
          <w:tcPr>
            <w:tcW w:type="dxa" w:w="1950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972253</w:t>
            </w:r>
          </w:p>
        </w:tc>
        <w:tc>
          <w:tcPr>
            <w:tcW w:type="dxa" w:w="1950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203203</w:t>
            </w:r>
          </w:p>
        </w:tc>
        <w:tc>
          <w:tcPr>
            <w:tcW w:type="dxa" w:w="1950"/>
          </w:tcPr>
          <w:p>
            <w:pPr>
              <w:pStyle w:val="Compact"/>
              <w:keepNext w:val="0"/>
              <w:spacing w:after="60" w:line="269" w:lineRule="auto"/>
            </w:pPr>
            <w:r>
              <w:rPr>
                <w:color w:val="000000"/>
                <w:sz w:val="20"/>
              </w:rPr>
              <w:t xml:space="preserve">1175456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Embedding另42次、26142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Token；货币费用未核账单。复用旧标签未新增调用，逻辑请求数也不等同于包含底层重试的全部HTTP请求数。</w:t>
      </w:r>
    </w:p>
    <w:p>
      <w:pPr>
        <w:pStyle w:val="BodyText"/>
      </w:pPr>
      <w:r>
        <w:rPr>
          <w:rFonts w:hint="eastAsia"/>
          <w:color w:val="000000"/>
        </w:rPr>
        <w:t xml:space="preserve">原始数据和冻结Q库文件在执行前后逐项核对保持不变。人工确认数为0，未产生selection.json（R*选择），未启动P7开发、预留确认、Q学习、完整CLE或Base/Plus。</w:t>
      </w:r>
    </w:p>
    <w:bookmarkEnd w:id="13"/>
    <w:bookmarkStart w:id="14" w:name="人工复核材料怎么使用"/>
    <w:p>
      <w:pPr>
        <w:pStyle w:val="Heading2"/>
      </w:pPr>
      <w:r>
        <w:rPr>
          <w:rFonts w:hint="eastAsia"/>
          <w:color w:val="000000"/>
        </w:rPr>
        <w:t xml:space="preserve">人工复核材料怎么使用</w:t>
      </w:r>
    </w:p>
    <w:p>
      <w:pPr>
        <w:pStyle w:val="FirstParagraph"/>
      </w:pPr>
      <w:r>
        <w:rPr>
          <w:rFonts w:hint="eastAsia"/>
          <w:color w:val="000000"/>
        </w:rPr>
        <w:t xml:space="preserve">运行目录：</w:t>
      </w:r>
      <w:r>
        <w:rPr>
          <w:rStyle w:val="VerbatimChar"/>
          <w:color w:val="000000"/>
        </w:rPr>
        <w:t xml:space="preserve">D:\Agent\sct-security-generation\translation_work\diagnostics\20261017\cle_retrieval_q\public_contract_v2</w:t>
      </w:r>
      <w:r>
        <w:rPr>
          <w:color w:val="000000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打开human_review_bundle.zip中的人工复核说明.md。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逐题Markdown提供中文阅读提示、英文公开题目、完整卡片、AI标签、双方依据和理由。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在human_review.csv副本中填写human_label、task_evidence、card_evidence、reason、reviewer、confirmed_at；原始人工字段全部为空。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所有行确认并裁决insufficient后再导入。只有完成人工门，才可用6题校准选择单一改动。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本轮到人工材料交付为止；后续8题P7和最多24题确认仍按各自门槛执行。</w:t>
      </w:r>
    </w:p>
    <w:bookmarkEnd w:id="14"/>
    <w:bookmarkStart w:id="15" w:name="验证与文件"/>
    <w:p>
      <w:pPr>
        <w:pStyle w:val="Heading2"/>
      </w:pPr>
      <w:r>
        <w:rPr>
          <w:rFonts w:hint="eastAsia"/>
          <w:color w:val="000000"/>
        </w:rPr>
        <w:t xml:space="preserve">验证与文件</w:t>
      </w:r>
    </w:p>
    <w:p>
      <w:pPr>
        <w:pStyle w:val="FirstParagraph"/>
      </w:pPr>
      <w:r>
        <w:rPr>
          <w:rFonts w:hint="eastAsia"/>
          <w:color w:val="000000"/>
        </w:rPr>
        <w:t xml:space="preserve">34项针对性测试通过，其中新增覆盖context单字段覆盖、原始数据不被原地修改、原context漂移拒绝、公开输入不含患者或测试常量，以及102/136真实参考重新预检。没有提交或推送。</w:t>
      </w:r>
    </w:p>
    <w:p>
      <w:pPr>
        <w:pStyle w:val="BodyText"/>
      </w:pPr>
      <w:r>
        <w:rPr>
          <w:rFonts w:hint="eastAsia"/>
          <w:color w:val="000000"/>
        </w:rPr>
        <w:t xml:space="preserve">源证据：public_contract_audit.json、public_contract_overrides.json、manifest.json、retrieval.jsonl、model_labels.jsonl、retrieval_metrics.json、execution_checks.json及用量文件。原始大材料留在忽略运行区，精简结果进入独立curated目录。</w:t>
      </w:r>
    </w:p>
    <w:bookmarkEnd w:id="15"/>
    <w:bookmarkEnd w:id="16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37" w:bottom="1037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CLE 检索与 Q 联合探索  2026-10-17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 w:after="120"/>
    </w:pPr>
    <w:rPr>
      <w:rFonts w:ascii="Calibri" w:hAnsi="Calibri" w:eastAsia="Microsoft YaHe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Microsoft YaHei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Microsoft YaHei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Microsoft YaHei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240"/>
      <w:contextualSpacing/>
      <w:jc w:val="center"/>
    </w:pPr>
    <w:rPr>
      <w:rFonts w:asciiTheme="majorHAnsi" w:cstheme="majorBidi" w:eastAsiaTheme="majorEastAsia" w:hAnsiTheme="majorHAnsi" w:ascii="Calibri" w:hAnsi="Calibri" w:eastAsia="Microsoft YaHei"/>
      <w:b/>
      <w:color w:val="000000"/>
      <w:sz w:val="4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Calibri" w:hAnsi="Calibri" w:eastAsia="Microsoft YaHe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 w:eastAsia="Microsoft YaHei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Calibri" w:hAnsi="Calibri" w:eastAsia="Microsoft YaHei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hAnsi="Calibri" w:eastAsia="Microsoft YaHei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hAnsi="Calibri" w:eastAsia="Microsoft YaHei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Microsoft YaHei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Microsoft YaHe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Microsoft YaHei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Calibri" w:hAnsi="Calibri" w:eastAsia="Microsoft YaHei"/>
      <w:b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Calibri" w:hAnsi="Calibri" w:eastAsia="Microsoft YaHei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cstheme="majorBidi" w:eastAsiaTheme="majorEastAsia" w:ascii="Calibri" w:hAnsi="Calibri" w:eastAsia="Microsoft YaHei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Microsoft YaHei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Microsoft YaHei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Microsoft YaHei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Calibri" w:hAnsi="Calibri" w:eastAsia="Microsoft YaHei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Calibri" w:hAnsi="Calibri" w:eastAsia="Microsoft YaHei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Calibri" w:hAnsi="Calibri" w:eastAsia="Microsoft YaHei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Calibri" w:hAnsi="Calibri" w:eastAsia="Microsoft YaHe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Calibri" w:hAnsi="Calibri" w:eastAsia="Microsoft YaHe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Calibri" w:hAnsi="Calibri" w:eastAsia="Microsoft YaHei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Calibri" w:hAnsi="Calibri" w:eastAsia="Microsoft YaHei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Calibri" w:hAnsi="Calibri" w:eastAsia="Microsoft YaHei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Calibri" w:hAnsi="Calibri" w:eastAsia="Microsoft YaHei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Calibri" w:hAnsi="Calibri" w:eastAsia="Microsoft YaHei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Calibri" w:hAnsi="Calibri" w:eastAsia="Microsoft YaHei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Calibri" w:hAnsi="Calibri" w:eastAsia="Microsoft YaHei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Microsoft YaHe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Microsoft YaHei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Microsoft YaHei"/>
      <w:color w:val="000000"/>
    </w:rPr>
  </w:style>
  <w:style w:default="1" w:styleId="DefaultParagraphFont" w:type="character">
    <w:name w:val="Default Paragraph Font"/>
    <w:semiHidden/>
    <w:unhideWhenUsed/>
    <w:rPr>
      <w:rFonts w:ascii="Calibri" w:hAnsi="Calibri" w:eastAsia="Microsoft YaHei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Microsoft YaHei"/>
      <w:b/>
      <w:color w:val="000000"/>
    </w:rPr>
  </w:style>
  <w:style w:customStyle="1" w:styleId="Definition" w:type="paragraph">
    <w:name w:val="Definition"/>
    <w:basedOn w:val="Normal"/>
    <w:rPr>
      <w:rFonts w:ascii="Calibri" w:hAnsi="Calibri" w:eastAsia="Microsoft YaHe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Microsoft YaHe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Microsoft YaHei"/>
      <w:color w:val="000000"/>
    </w:rPr>
  </w:style>
  <w:style w:customStyle="1" w:styleId="ImageCaption" w:type="paragraph">
    <w:name w:val="Image Caption"/>
    <w:basedOn w:val="Caption"/>
    <w:rPr>
      <w:rFonts w:ascii="Calibri" w:hAnsi="Calibri" w:eastAsia="Microsoft YaHei"/>
      <w:color w:val="000000"/>
    </w:rPr>
  </w:style>
  <w:style w:customStyle="1" w:styleId="Figure" w:type="paragraph">
    <w:name w:val="Figure"/>
    <w:basedOn w:val="Normal"/>
    <w:rPr>
      <w:rFonts w:ascii="Calibri" w:hAnsi="Calibri" w:eastAsia="Microsoft YaHe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Microsoft YaHei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eastAsia="Microsoft YaHei"/>
      <w:color w:val="000000"/>
    </w:rPr>
  </w:style>
  <w:style w:customStyle="1" w:styleId="VerbatimChar" w:type="character">
    <w:name w:val="Verbatim Char"/>
    <w:basedOn w:val="BodyTextChar"/>
    <w:rPr>
      <w:rFonts w:ascii="Calibri" w:hAnsi="Calibri" w:eastAsia="Microsoft YaHei"/>
      <w:color w:val="000000"/>
      <w:sz w:val="22"/>
    </w:rPr>
  </w:style>
  <w:style w:customStyle="1" w:styleId="SectionNumber" w:type="character">
    <w:name w:val="Section Number"/>
    <w:basedOn w:val="BodyTextChar"/>
    <w:rPr>
      <w:rFonts w:ascii="Calibri" w:hAnsi="Calibri" w:eastAsia="Microsoft YaHei"/>
      <w:color w:val="000000"/>
    </w:rPr>
  </w:style>
  <w:style w:styleId="FootnoteReference" w:type="character">
    <w:name w:val="Footnote Reference"/>
    <w:basedOn w:val="BodyTextChar"/>
    <w:rPr>
      <w:rFonts w:ascii="Calibri" w:hAnsi="Calibri" w:eastAsia="Microsoft YaHei"/>
      <w:color w:val="000000"/>
      <w:vertAlign w:val="superscript"/>
    </w:rPr>
  </w:style>
  <w:style w:styleId="Hyperlink" w:type="character">
    <w:name w:val="Hyperlink"/>
    <w:basedOn w:val="BodyTextChar"/>
    <w:rPr>
      <w:rFonts w:ascii="Calibri" w:hAnsi="Calibri" w:eastAsia="Microsoft YaHei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Microsoft YaHe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Microsoft YaHei"/>
      <w:color w:val="000000"/>
    </w:rPr>
  </w:style>
  <w:style w:type="character" w:customStyle="1" w:styleId="KeywordTok">
    <w:name w:val="KeywordTok"/>
    <w:basedOn w:val="VerbatimChar"/>
    <w:rPr>
      <w:rFonts w:ascii="Calibri" w:hAnsi="Calibri" w:eastAsia="Microsoft YaHei"/>
      <w:b/>
      <w:color w:val="000000"/>
    </w:rPr>
  </w:style>
  <w:style w:type="character" w:customStyle="1" w:styleId="DataTypeTok">
    <w:name w:val="DataTypeTok"/>
    <w:basedOn w:val="VerbatimChar"/>
    <w:rPr>
      <w:rFonts w:ascii="Calibri" w:hAnsi="Calibri" w:eastAsia="Microsoft YaHei"/>
      <w:color w:val="000000"/>
    </w:rPr>
  </w:style>
  <w:style w:type="character" w:customStyle="1" w:styleId="DecValTok">
    <w:name w:val="DecValTok"/>
    <w:basedOn w:val="VerbatimChar"/>
    <w:rPr>
      <w:rFonts w:ascii="Calibri" w:hAnsi="Calibri" w:eastAsia="Microsoft YaHei"/>
      <w:color w:val="000000"/>
    </w:rPr>
  </w:style>
  <w:style w:type="character" w:customStyle="1" w:styleId="BaseNTok">
    <w:name w:val="BaseNTok"/>
    <w:basedOn w:val="VerbatimChar"/>
    <w:rPr>
      <w:rFonts w:ascii="Calibri" w:hAnsi="Calibri" w:eastAsia="Microsoft YaHei"/>
      <w:color w:val="000000"/>
    </w:rPr>
  </w:style>
  <w:style w:type="character" w:customStyle="1" w:styleId="FloatTok">
    <w:name w:val="FloatTok"/>
    <w:basedOn w:val="VerbatimChar"/>
    <w:rPr>
      <w:rFonts w:ascii="Calibri" w:hAnsi="Calibri" w:eastAsia="Microsoft YaHei"/>
      <w:color w:val="000000"/>
    </w:rPr>
  </w:style>
  <w:style w:type="character" w:customStyle="1" w:styleId="ConstantTok">
    <w:name w:val="ConstantTok"/>
    <w:basedOn w:val="VerbatimChar"/>
    <w:rPr>
      <w:rFonts w:ascii="Calibri" w:hAnsi="Calibri" w:eastAsia="Microsoft YaHei"/>
      <w:color w:val="000000"/>
    </w:rPr>
  </w:style>
  <w:style w:type="character" w:customStyle="1" w:styleId="CharTok">
    <w:name w:val="CharTok"/>
    <w:basedOn w:val="VerbatimChar"/>
    <w:rPr>
      <w:rFonts w:ascii="Calibri" w:hAnsi="Calibri" w:eastAsia="Microsoft YaHei"/>
      <w:color w:val="000000"/>
    </w:rPr>
  </w:style>
  <w:style w:type="character" w:customStyle="1" w:styleId="SpecialCharTok">
    <w:name w:val="SpecialCharTok"/>
    <w:basedOn w:val="VerbatimChar"/>
    <w:rPr>
      <w:rFonts w:ascii="Calibri" w:hAnsi="Calibri" w:eastAsia="Microsoft YaHei"/>
      <w:color w:val="000000"/>
    </w:rPr>
  </w:style>
  <w:style w:type="character" w:customStyle="1" w:styleId="StringTok">
    <w:name w:val="StringTok"/>
    <w:basedOn w:val="VerbatimChar"/>
    <w:rPr>
      <w:rFonts w:ascii="Calibri" w:hAnsi="Calibri" w:eastAsia="Microsoft YaHei"/>
      <w:color w:val="000000"/>
    </w:rPr>
  </w:style>
  <w:style w:type="character" w:customStyle="1" w:styleId="VerbatimStringTok">
    <w:name w:val="VerbatimStringTok"/>
    <w:basedOn w:val="VerbatimChar"/>
    <w:rPr>
      <w:rFonts w:ascii="Calibri" w:hAnsi="Calibri" w:eastAsia="Microsoft YaHei"/>
      <w:color w:val="000000"/>
    </w:rPr>
  </w:style>
  <w:style w:type="character" w:customStyle="1" w:styleId="SpecialStringTok">
    <w:name w:val="SpecialStringTok"/>
    <w:basedOn w:val="VerbatimChar"/>
    <w:rPr>
      <w:rFonts w:ascii="Calibri" w:hAnsi="Calibri" w:eastAsia="Microsoft YaHei"/>
      <w:color w:val="000000"/>
    </w:rPr>
  </w:style>
  <w:style w:type="character" w:customStyle="1" w:styleId="ImportTok">
    <w:name w:val="ImportTok"/>
    <w:basedOn w:val="VerbatimChar"/>
    <w:rPr>
      <w:rFonts w:ascii="Calibri" w:hAnsi="Calibri" w:eastAsia="Microsoft YaHei"/>
      <w:b/>
      <w:color w:val="000000"/>
    </w:rPr>
  </w:style>
  <w:style w:type="character" w:customStyle="1" w:styleId="CommentTok">
    <w:name w:val="CommentTok"/>
    <w:basedOn w:val="VerbatimChar"/>
    <w:rPr>
      <w:rFonts w:ascii="Calibri" w:hAnsi="Calibri" w:eastAsia="Microsoft YaHei"/>
      <w:i/>
      <w:color w:val="000000"/>
    </w:rPr>
  </w:style>
  <w:style w:type="character" w:customStyle="1" w:styleId="DocumentationTok">
    <w:name w:val="DocumentationTok"/>
    <w:basedOn w:val="VerbatimChar"/>
    <w:rPr>
      <w:rFonts w:ascii="Calibri" w:hAnsi="Calibri" w:eastAsia="Microsoft YaHei"/>
      <w:i/>
      <w:color w:val="000000"/>
    </w:rPr>
  </w:style>
  <w:style w:type="character" w:customStyle="1" w:styleId="AnnotationTok">
    <w:name w:val="AnnotationTok"/>
    <w:basedOn w:val="VerbatimChar"/>
    <w:rPr>
      <w:rFonts w:ascii="Calibri" w:hAnsi="Calibri" w:eastAsia="Microsoft YaHei"/>
      <w:b/>
      <w:i/>
      <w:color w:val="000000"/>
    </w:rPr>
  </w:style>
  <w:style w:type="character" w:customStyle="1" w:styleId="CommentVarTok">
    <w:name w:val="CommentVarTok"/>
    <w:basedOn w:val="VerbatimChar"/>
    <w:rPr>
      <w:rFonts w:ascii="Calibri" w:hAnsi="Calibri" w:eastAsia="Microsoft YaHei"/>
      <w:b/>
      <w:i/>
      <w:color w:val="000000"/>
    </w:rPr>
  </w:style>
  <w:style w:type="character" w:customStyle="1" w:styleId="OtherTok">
    <w:name w:val="OtherTok"/>
    <w:basedOn w:val="VerbatimChar"/>
    <w:rPr>
      <w:rFonts w:ascii="Calibri" w:hAnsi="Calibri" w:eastAsia="Microsoft YaHei"/>
      <w:color w:val="000000"/>
    </w:rPr>
  </w:style>
  <w:style w:type="character" w:customStyle="1" w:styleId="FunctionTok">
    <w:name w:val="FunctionTok"/>
    <w:basedOn w:val="VerbatimChar"/>
    <w:rPr>
      <w:rFonts w:ascii="Calibri" w:hAnsi="Calibri" w:eastAsia="Microsoft YaHei"/>
      <w:color w:val="000000"/>
    </w:rPr>
  </w:style>
  <w:style w:type="character" w:customStyle="1" w:styleId="VariableTok">
    <w:name w:val="VariableTok"/>
    <w:basedOn w:val="VerbatimChar"/>
    <w:rPr>
      <w:rFonts w:ascii="Calibri" w:hAnsi="Calibri" w:eastAsia="Microsoft YaHei"/>
      <w:color w:val="000000"/>
    </w:rPr>
  </w:style>
  <w:style w:type="character" w:customStyle="1" w:styleId="ControlFlowTok">
    <w:name w:val="ControlFlowTok"/>
    <w:basedOn w:val="VerbatimChar"/>
    <w:rPr>
      <w:rFonts w:ascii="Calibri" w:hAnsi="Calibri" w:eastAsia="Microsoft YaHei"/>
      <w:b/>
      <w:color w:val="000000"/>
    </w:rPr>
  </w:style>
  <w:style w:type="character" w:customStyle="1" w:styleId="OperatorTok">
    <w:name w:val="OperatorTok"/>
    <w:basedOn w:val="VerbatimChar"/>
    <w:rPr>
      <w:rFonts w:ascii="Calibri" w:hAnsi="Calibri" w:eastAsia="Microsoft YaHei"/>
      <w:color w:val="000000"/>
    </w:rPr>
  </w:style>
  <w:style w:type="character" w:customStyle="1" w:styleId="BuiltInTok">
    <w:name w:val="BuiltInTok"/>
    <w:basedOn w:val="VerbatimChar"/>
    <w:rPr>
      <w:rFonts w:ascii="Calibri" w:hAnsi="Calibri" w:eastAsia="Microsoft YaHei"/>
      <w:color w:val="000000"/>
    </w:rPr>
  </w:style>
  <w:style w:type="character" w:customStyle="1" w:styleId="ExtensionTok">
    <w:name w:val="ExtensionTok"/>
    <w:basedOn w:val="VerbatimChar"/>
    <w:rPr>
      <w:rFonts w:ascii="Calibri" w:hAnsi="Calibri" w:eastAsia="Microsoft YaHei"/>
      <w:color w:val="000000"/>
    </w:rPr>
  </w:style>
  <w:style w:type="character" w:customStyle="1" w:styleId="PreprocessorTok">
    <w:name w:val="PreprocessorTok"/>
    <w:basedOn w:val="VerbatimChar"/>
    <w:rPr>
      <w:rFonts w:ascii="Calibri" w:hAnsi="Calibri" w:eastAsia="Microsoft YaHei"/>
      <w:color w:val="000000"/>
    </w:rPr>
  </w:style>
  <w:style w:type="character" w:customStyle="1" w:styleId="AttributeTok">
    <w:name w:val="AttributeTok"/>
    <w:basedOn w:val="VerbatimChar"/>
    <w:rPr>
      <w:rFonts w:ascii="Calibri" w:hAnsi="Calibri" w:eastAsia="Microsoft YaHei"/>
      <w:color w:val="000000"/>
    </w:rPr>
  </w:style>
  <w:style w:type="character" w:customStyle="1" w:styleId="RegionMarkerTok">
    <w:name w:val="RegionMarkerTok"/>
    <w:basedOn w:val="VerbatimChar"/>
    <w:rPr>
      <w:rFonts w:ascii="Calibri" w:hAnsi="Calibri" w:eastAsia="Microsoft YaHei"/>
      <w:color w:val="000000"/>
    </w:rPr>
  </w:style>
  <w:style w:type="character" w:customStyle="1" w:styleId="InformationTok">
    <w:name w:val="InformationTok"/>
    <w:basedOn w:val="VerbatimChar"/>
    <w:rPr>
      <w:rFonts w:ascii="Calibri" w:hAnsi="Calibri" w:eastAsia="Microsoft YaHei"/>
      <w:b/>
      <w:i/>
      <w:color w:val="000000"/>
    </w:rPr>
  </w:style>
  <w:style w:type="character" w:customStyle="1" w:styleId="WarningTok">
    <w:name w:val="WarningTok"/>
    <w:basedOn w:val="VerbatimChar"/>
    <w:rPr>
      <w:rFonts w:ascii="Calibri" w:hAnsi="Calibri" w:eastAsia="Microsoft YaHei"/>
      <w:b/>
      <w:i/>
      <w:color w:val="000000"/>
    </w:rPr>
  </w:style>
  <w:style w:type="character" w:customStyle="1" w:styleId="AlertTok">
    <w:name w:val="AlertTok"/>
    <w:basedOn w:val="VerbatimChar"/>
    <w:rPr>
      <w:rFonts w:ascii="Calibri" w:hAnsi="Calibri" w:eastAsia="Microsoft YaHei"/>
      <w:b/>
      <w:color w:val="000000"/>
    </w:rPr>
  </w:style>
  <w:style w:type="character" w:customStyle="1" w:styleId="ErrorTok">
    <w:name w:val="ErrorTok"/>
    <w:basedOn w:val="VerbatimChar"/>
    <w:rPr>
      <w:rFonts w:ascii="Calibri" w:hAnsi="Calibri" w:eastAsia="Microsoft YaHei"/>
      <w:b/>
      <w:color w:val="000000"/>
    </w:rPr>
  </w:style>
  <w:style w:type="character" w:customStyle="1" w:styleId="NormalTok">
    <w:name w:val="NormalTok"/>
    <w:basedOn w:val="VerbatimChar"/>
    <w:rPr>
      <w:rFonts w:ascii="Calibri" w:hAnsi="Calibri" w:eastAsia="Microsoft YaHei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 公开契约补齐与 AI 初标报告</dc:title>
  <dc:creator/>
  <cp:keywords/>
  <dcterms:created xsi:type="dcterms:W3CDTF">2026-10-17T02:46:08Z</dcterms:created>
  <dcterms:modified xsi:type="dcterms:W3CDTF">2026-10-17T02:46:08Z</dcterms:modified>
  <dc:subject>公开契约修订 候选池AI盲评 人工复核材料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