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宋体" w:hAnsi="宋体" w:eastAsia="宋体"/>
          <w:b/>
          <w:color w:val="000000"/>
          <w:sz w:val="44"/>
        </w:rPr>
        <w:t>新疆大学软件学院小学期实训论文</w:t>
      </w:r>
    </w:p>
    <w:p/>
    <w:p>
      <w:pPr>
        <w:jc w:val="center"/>
      </w:pPr>
      <w:r>
        <w:rPr>
          <w:rFonts w:ascii="宋体" w:hAnsi="宋体" w:eastAsia="宋体"/>
          <w:b/>
          <w:color w:val="000000"/>
          <w:sz w:val="32"/>
        </w:rPr>
        <w:t>论文题目：基于智能Agent的医学影像智能去噪与质量增强系统</w:t>
      </w:r>
    </w:p>
    <w:p/>
    <w:p/>
    <w:tbl>
      <w:tblPr>
        <w:tblW w:type="auto" w:w="0"/>
        <w:jc w:val="center"/>
        <w:tblLayout w:type="fixed"/>
        <w:tblLook w:firstColumn="1" w:firstRow="1" w:lastColumn="0" w:lastRow="0" w:noHBand="0" w:noVBand="1" w:val="04A0"/>
      </w:tblPr>
      <w:tblGrid>
        <w:gridCol w:w="3402"/>
        <w:gridCol w:w="3402"/>
      </w:tblGrid>
      <w:tr>
        <w:trPr>
          <w:trHeight w:val="567"/>
        </w:trPr>
        <w:tc>
          <w:tcPr>
            <w:tcW w:type="dxa" w:w="4156"/>
            <w:vAlign w:val="center"/>
          </w:tcPr>
          <w:p>
            <w:pPr>
              <w:jc w:val="center"/>
            </w:pPr>
            <w:r>
              <w:rPr>
                <w:rFonts w:ascii="宋体" w:hAnsi="宋体" w:eastAsia="宋体"/>
                <w:b w:val="0"/>
                <w:color w:val="000000"/>
                <w:sz w:val="28"/>
              </w:rPr>
              <w:t>学生姓名：</w:t>
            </w:r>
          </w:p>
        </w:tc>
        <w:tc>
          <w:tcPr>
            <w:tcW w:type="dxa" w:w="4156"/>
            <w:vAlign w:val="center"/>
          </w:tcPr>
          <w:p>
            <w:pPr>
              <w:jc w:val="center"/>
            </w:pPr>
            <w:r>
              <w:rPr>
                <w:rFonts w:ascii="宋体" w:hAnsi="宋体" w:eastAsia="宋体"/>
                <w:b w:val="0"/>
                <w:color w:val="000000"/>
                <w:sz w:val="28"/>
              </w:rPr>
            </w:r>
          </w:p>
        </w:tc>
      </w:tr>
      <w:tr>
        <w:trPr>
          <w:trHeight w:val="567"/>
        </w:trPr>
        <w:tc>
          <w:tcPr>
            <w:tcW w:type="dxa" w:w="4156"/>
            <w:vAlign w:val="center"/>
          </w:tcPr>
          <w:p>
            <w:pPr>
              <w:jc w:val="center"/>
            </w:pPr>
            <w:r>
              <w:rPr>
                <w:rFonts w:ascii="宋体" w:hAnsi="宋体" w:eastAsia="宋体"/>
                <w:b w:val="0"/>
                <w:color w:val="000000"/>
                <w:sz w:val="28"/>
              </w:rPr>
              <w:t>学    号：</w:t>
            </w:r>
          </w:p>
        </w:tc>
        <w:tc>
          <w:tcPr>
            <w:tcW w:type="dxa" w:w="4156"/>
            <w:vAlign w:val="center"/>
          </w:tcPr>
          <w:p>
            <w:pPr>
              <w:jc w:val="center"/>
            </w:pPr>
            <w:r>
              <w:rPr>
                <w:rFonts w:ascii="宋体" w:hAnsi="宋体" w:eastAsia="宋体"/>
                <w:b w:val="0"/>
                <w:color w:val="000000"/>
                <w:sz w:val="28"/>
              </w:rPr>
            </w:r>
          </w:p>
        </w:tc>
      </w:tr>
      <w:tr>
        <w:trPr>
          <w:trHeight w:val="567"/>
        </w:trPr>
        <w:tc>
          <w:tcPr>
            <w:tcW w:type="dxa" w:w="4156"/>
            <w:vAlign w:val="center"/>
          </w:tcPr>
          <w:p>
            <w:pPr>
              <w:jc w:val="center"/>
            </w:pPr>
            <w:r>
              <w:rPr>
                <w:rFonts w:ascii="宋体" w:hAnsi="宋体" w:eastAsia="宋体"/>
                <w:b w:val="0"/>
                <w:color w:val="000000"/>
                <w:sz w:val="28"/>
              </w:rPr>
              <w:t>所属院系：</w:t>
            </w:r>
          </w:p>
        </w:tc>
        <w:tc>
          <w:tcPr>
            <w:tcW w:type="dxa" w:w="4156"/>
            <w:vAlign w:val="center"/>
          </w:tcPr>
          <w:p>
            <w:pPr>
              <w:jc w:val="center"/>
            </w:pPr>
            <w:r>
              <w:rPr>
                <w:rFonts w:ascii="宋体" w:hAnsi="宋体" w:eastAsia="宋体"/>
                <w:b w:val="0"/>
                <w:color w:val="000000"/>
                <w:sz w:val="28"/>
              </w:rPr>
              <w:t>软件学院</w:t>
            </w:r>
          </w:p>
        </w:tc>
      </w:tr>
      <w:tr>
        <w:trPr>
          <w:trHeight w:val="567"/>
        </w:trPr>
        <w:tc>
          <w:tcPr>
            <w:tcW w:type="dxa" w:w="4156"/>
            <w:vAlign w:val="center"/>
          </w:tcPr>
          <w:p>
            <w:pPr>
              <w:jc w:val="center"/>
            </w:pPr>
            <w:r>
              <w:rPr>
                <w:rFonts w:ascii="宋体" w:hAnsi="宋体" w:eastAsia="宋体"/>
                <w:b w:val="0"/>
                <w:color w:val="000000"/>
                <w:sz w:val="28"/>
              </w:rPr>
              <w:t>专    业：</w:t>
            </w:r>
          </w:p>
        </w:tc>
        <w:tc>
          <w:tcPr>
            <w:tcW w:type="dxa" w:w="4156"/>
            <w:vAlign w:val="center"/>
          </w:tcPr>
          <w:p>
            <w:pPr>
              <w:jc w:val="center"/>
            </w:pPr>
            <w:r>
              <w:rPr>
                <w:rFonts w:ascii="宋体" w:hAnsi="宋体" w:eastAsia="宋体"/>
                <w:b w:val="0"/>
                <w:color w:val="000000"/>
                <w:sz w:val="28"/>
              </w:rPr>
              <w:t>软件工程</w:t>
            </w:r>
          </w:p>
        </w:tc>
      </w:tr>
      <w:tr>
        <w:trPr>
          <w:trHeight w:val="567"/>
        </w:trPr>
        <w:tc>
          <w:tcPr>
            <w:tcW w:type="dxa" w:w="4156"/>
            <w:vAlign w:val="center"/>
          </w:tcPr>
          <w:p>
            <w:pPr>
              <w:jc w:val="center"/>
            </w:pPr>
            <w:r>
              <w:rPr>
                <w:rFonts w:ascii="宋体" w:hAnsi="宋体" w:eastAsia="宋体"/>
                <w:b w:val="0"/>
                <w:color w:val="000000"/>
                <w:sz w:val="28"/>
              </w:rPr>
              <w:t>班    级：</w:t>
            </w:r>
          </w:p>
        </w:tc>
        <w:tc>
          <w:tcPr>
            <w:tcW w:type="dxa" w:w="4156"/>
            <w:vAlign w:val="center"/>
          </w:tcPr>
          <w:p>
            <w:pPr>
              <w:jc w:val="center"/>
            </w:pPr>
            <w:r>
              <w:rPr>
                <w:rFonts w:ascii="宋体" w:hAnsi="宋体" w:eastAsia="宋体"/>
                <w:b w:val="0"/>
                <w:color w:val="000000"/>
                <w:sz w:val="28"/>
              </w:rPr>
            </w:r>
          </w:p>
        </w:tc>
      </w:tr>
      <w:tr>
        <w:trPr>
          <w:trHeight w:val="567"/>
        </w:trPr>
        <w:tc>
          <w:tcPr>
            <w:tcW w:type="dxa" w:w="4156"/>
            <w:vAlign w:val="center"/>
          </w:tcPr>
          <w:p>
            <w:pPr>
              <w:jc w:val="center"/>
            </w:pPr>
            <w:r>
              <w:rPr>
                <w:rFonts w:ascii="宋体" w:hAnsi="宋体" w:eastAsia="宋体"/>
                <w:b w:val="0"/>
                <w:color w:val="000000"/>
                <w:sz w:val="28"/>
              </w:rPr>
              <w:t>指导老师：</w:t>
            </w:r>
          </w:p>
        </w:tc>
        <w:tc>
          <w:tcPr>
            <w:tcW w:type="dxa" w:w="4156"/>
            <w:vAlign w:val="center"/>
          </w:tcPr>
          <w:p>
            <w:pPr>
              <w:jc w:val="center"/>
            </w:pPr>
            <w:r>
              <w:rPr>
                <w:rFonts w:ascii="宋体" w:hAnsi="宋体" w:eastAsia="宋体"/>
                <w:b w:val="0"/>
                <w:color w:val="000000"/>
                <w:sz w:val="28"/>
              </w:rPr>
            </w:r>
          </w:p>
        </w:tc>
      </w:tr>
      <w:tr>
        <w:trPr>
          <w:trHeight w:val="567"/>
        </w:trPr>
        <w:tc>
          <w:tcPr>
            <w:tcW w:type="dxa" w:w="4156"/>
            <w:vAlign w:val="center"/>
          </w:tcPr>
          <w:p>
            <w:pPr>
              <w:jc w:val="center"/>
            </w:pPr>
            <w:r>
              <w:rPr>
                <w:rFonts w:ascii="宋体" w:hAnsi="宋体" w:eastAsia="宋体"/>
                <w:b w:val="0"/>
                <w:color w:val="000000"/>
                <w:sz w:val="28"/>
              </w:rPr>
              <w:t>日    期：</w:t>
            </w:r>
          </w:p>
        </w:tc>
        <w:tc>
          <w:tcPr>
            <w:tcW w:type="dxa" w:w="4156"/>
            <w:vAlign w:val="center"/>
          </w:tcPr>
          <w:p>
            <w:pPr>
              <w:jc w:val="center"/>
            </w:pPr>
            <w:r>
              <w:rPr>
                <w:rFonts w:ascii="宋体" w:hAnsi="宋体" w:eastAsia="宋体"/>
                <w:b w:val="0"/>
                <w:color w:val="000000"/>
                <w:sz w:val="28"/>
              </w:rPr>
              <w:t xml:space="preserve">    年   月   日</w:t>
            </w:r>
          </w:p>
        </w:tc>
      </w:tr>
    </w:tbl>
    <w:p>
      <w:r>
        <w:br w:type="page"/>
      </w:r>
    </w:p>
    <w:p>
      <w:pPr>
        <w:spacing w:line="360" w:lineRule="auto" w:before="360" w:after="240"/>
        <w:jc w:val="left"/>
      </w:pPr>
      <w:r>
        <w:rPr>
          <w:rFonts w:ascii="黑体" w:hAnsi="黑体" w:eastAsia="黑体"/>
          <w:b/>
          <w:color w:val="000000"/>
          <w:sz w:val="32"/>
        </w:rPr>
        <w:t>摘  要</w:t>
      </w:r>
    </w:p>
    <w:p>
      <w:pPr>
        <w:spacing w:line="360" w:lineRule="auto" w:after="120"/>
        <w:jc w:val="both"/>
      </w:pPr>
      <w:r>
        <w:rPr>
          <w:rFonts w:ascii="宋体" w:hAnsi="宋体" w:eastAsia="宋体"/>
          <w:b w:val="0"/>
          <w:color w:val="000000"/>
          <w:sz w:val="24"/>
        </w:rPr>
        <w:t>医学影像（CT、MRI、X光等）在采集、传输和重建过程中不可避免地引入噪声，噪声会降低图像对比度、模糊病灶边缘，进而影响临床诊断的准确性与效率。传统去噪算法（如高斯滤波、中值滤波、BM3D）虽然能在一定程度上抑制噪声，但其参数选择依赖人工经验，在复杂纹理与边缘区域容易产生过平滑或伪影。因此，如何利用智能技术实现医学影像的自适应去噪与质量增强具有重要的研究意义和应用价值。</w:t>
      </w:r>
    </w:p>
    <w:p>
      <w:pPr>
        <w:spacing w:line="360" w:lineRule="auto" w:after="120"/>
        <w:jc w:val="both"/>
      </w:pPr>
      <w:r>
        <w:rPr>
          <w:rFonts w:ascii="宋体" w:hAnsi="宋体" w:eastAsia="宋体"/>
          <w:b w:val="0"/>
          <w:color w:val="000000"/>
          <w:sz w:val="24"/>
        </w:rPr>
        <w:t>本文设计并实现了一套基于多Agent协作的医学影像智能去噪与质量增强系统——MedDenoise-Agent。系统以VT-BM3D论文算法为核心，采用感知Agent、决策Agent、执行Agent、评估Agent与协调Agent的闭环架构：感知Agent对输入影像进行噪声估计、结构张量分析、模态识别与边缘密度评估；决策Agent结合技能知识库、案例记忆与LLM规划器（或离线专家规则引擎）生成个性化去噪参数方案；执行Agent调用高斯/中值/NLM/小波/BM3D/VT-BM3D等多种去噪工具及CLAHE、非锐化掩膜等增强工具；评估Agent利用PSNR/SSIM/RMSE及无参考指标对结果进行量化评估，并触发反思式重规划。前端基于Vue3+ECharts构建可视化仪表盘，后端基于FastAPI提供RESTful与SSE接口，支持实时展示AI思考过程与处理结果。</w:t>
      </w:r>
    </w:p>
    <w:p>
      <w:pPr>
        <w:spacing w:line="360" w:lineRule="auto" w:after="120"/>
        <w:jc w:val="both"/>
      </w:pPr>
      <w:r>
        <w:rPr>
          <w:rFonts w:ascii="宋体" w:hAnsi="宋体" w:eastAsia="宋体"/>
          <w:b w:val="0"/>
          <w:color w:val="000000"/>
          <w:sz w:val="24"/>
        </w:rPr>
        <w:t>实验与运行结果表明，VT-BM3D在Set12与BSDS300标准数据集上相对BM3D平均PSNR提升2.04 dB，复杂纹理最大提升4.19 dB；在医学影像示例上，Agent调参后的PSNR较未调参基线提升约0.3 dB。系统在无API Key环境下可自动回退到专家规则引擎，具备良好的可用性、可扩展性与实际应用前景。</w:t>
      </w:r>
    </w:p>
    <w:p>
      <w:pPr>
        <w:spacing w:line="360" w:lineRule="auto" w:after="120"/>
        <w:jc w:val="both"/>
      </w:pPr>
      <w:r>
        <w:rPr>
          <w:rFonts w:ascii="宋体" w:hAnsi="宋体" w:eastAsia="宋体"/>
          <w:b/>
          <w:color w:val="000000"/>
          <w:sz w:val="24"/>
        </w:rPr>
        <w:t>关键词：智能Agent；医学影像；图像去噪；VT-BM3D；质量增强</w:t>
      </w:r>
    </w:p>
    <w:p>
      <w:pPr>
        <w:spacing w:line="360" w:lineRule="auto" w:before="360" w:after="240"/>
        <w:jc w:val="left"/>
      </w:pPr>
      <w:r>
        <w:rPr>
          <w:rFonts w:ascii="黑体" w:hAnsi="黑体" w:eastAsia="黑体"/>
          <w:b/>
          <w:color w:val="000000"/>
          <w:sz w:val="32"/>
        </w:rPr>
        <w:t>ABSTRACT</w:t>
      </w:r>
    </w:p>
    <w:p>
      <w:pPr>
        <w:spacing w:line="360" w:lineRule="auto" w:after="120"/>
        <w:jc w:val="both"/>
      </w:pPr>
      <w:r>
        <w:rPr>
          <w:rFonts w:ascii="宋体" w:hAnsi="宋体" w:eastAsia="宋体"/>
          <w:b w:val="0"/>
          <w:color w:val="000000"/>
          <w:sz w:val="24"/>
        </w:rPr>
        <w:t>Medical images (CT, MRI, X-ray, etc.) inevitably suffer from noise during acquisition, transmission and reconstruction. This degrades image contrast and blurs lesion boundaries, affecting clinical diagnosis. Traditional denoising algorithms such as Gaussian filtering, median filtering and BM3D can suppress noise to some extent, but their parameters depend on manual experience and they tend to over-smooth textures or introduce artifacts. Therefore, adaptive denoising and quality enhancement for medical images is of great research and practical value.</w:t>
      </w:r>
    </w:p>
    <w:p>
      <w:pPr>
        <w:spacing w:line="360" w:lineRule="auto" w:after="120"/>
        <w:jc w:val="both"/>
      </w:pPr>
      <w:r>
        <w:rPr>
          <w:rFonts w:ascii="宋体" w:hAnsi="宋体" w:eastAsia="宋体"/>
          <w:b w:val="0"/>
          <w:color w:val="000000"/>
          <w:sz w:val="24"/>
        </w:rPr>
        <w:t>This paper designs and implements MedDenoise-Agent, a multi-agent collaborative medical image denoising and quality enhancement system. The system is built around the VT-BM3D algorithm and adopts a closed-loop architecture of perception, planning, execution, evaluation and coordination agents. The perception agent estimates noise, analyzes structure tensors, recognizes modality and measures edge density; the planning agent generates personalized denoising parameters by combining skills, case memory and an LLM planner (or an offline rule engine); the execution agent invokes Gaussian / median / NLM / wavelet / BM3D / VT-BM3D denoisers and CLAHE / unsharp masking enhancements; the evaluation agent quantifies results with PSNR / SSIM / RMSE and no-reference metrics, triggering reflective re-planning when necessary. The frontend is a Vue3 + ECharts dashboard; the backend is a FastAPI server providing RESTful and SSE endpoints for real-time AI thinking visualization.</w:t>
      </w:r>
    </w:p>
    <w:p>
      <w:pPr>
        <w:spacing w:line="360" w:lineRule="auto" w:after="120"/>
        <w:jc w:val="both"/>
      </w:pPr>
      <w:r>
        <w:rPr>
          <w:rFonts w:ascii="宋体" w:hAnsi="宋体" w:eastAsia="宋体"/>
          <w:b w:val="0"/>
          <w:color w:val="000000"/>
          <w:sz w:val="24"/>
        </w:rPr>
        <w:t>Experimental results show that VT-BM3D achieves an average PSNR gain of 2.04 dB over BM3D on Set12 and BSDS300, with a maximum gain of 4.19 dB on complex textures. On medical samples, Agent tuning improves PSNR by about 0.3 dB over the untuned baseline. The system can fall back to a rule engine without an API key, demonstrating good usability and extensibility.</w:t>
      </w:r>
    </w:p>
    <w:p>
      <w:pPr>
        <w:spacing w:line="360" w:lineRule="auto" w:after="120"/>
        <w:jc w:val="both"/>
      </w:pPr>
      <w:r>
        <w:rPr>
          <w:rFonts w:ascii="宋体" w:hAnsi="宋体" w:eastAsia="宋体"/>
          <w:b/>
          <w:color w:val="000000"/>
          <w:sz w:val="24"/>
        </w:rPr>
        <w:t>KEY WORDS: Intelligent Agent; Medical Image; Image Denoising; VT-BM3D; Quality Enhancement</w:t>
      </w:r>
    </w:p>
    <w:p>
      <w:r>
        <w:br w:type="page"/>
      </w:r>
    </w:p>
    <w:p>
      <w:pPr>
        <w:spacing w:line="360" w:lineRule="auto" w:before="360" w:after="240"/>
        <w:jc w:val="left"/>
      </w:pPr>
      <w:r>
        <w:rPr>
          <w:rFonts w:ascii="黑体" w:hAnsi="黑体" w:eastAsia="黑体"/>
          <w:b/>
          <w:color w:val="000000"/>
          <w:sz w:val="32"/>
        </w:rPr>
        <w:t>目  录</w:t>
      </w:r>
    </w:p>
    <w:p>
      <w:pPr>
        <w:spacing w:line="360" w:lineRule="auto"/>
      </w:pPr>
      <w:r>
        <w:rPr>
          <w:rFonts w:ascii="宋体" w:hAnsi="宋体" w:eastAsia="宋体"/>
          <w:b w:val="0"/>
          <w:color w:val="000000"/>
          <w:sz w:val="24"/>
        </w:rPr>
        <w:t>1 绪论</w:t>
      </w:r>
      <w:r>
        <w:rPr>
          <w:rFonts w:ascii="宋体" w:hAnsi="宋体" w:eastAsia="宋体"/>
          <w:b w:val="0"/>
          <w:color w:val="000000"/>
          <w:sz w:val="24"/>
        </w:rPr>
        <w:t xml:space="preserve">  ........................................  1</w:t>
      </w:r>
    </w:p>
    <w:p>
      <w:pPr>
        <w:spacing w:line="360" w:lineRule="auto"/>
      </w:pPr>
      <w:r>
        <w:rPr>
          <w:rFonts w:ascii="宋体" w:hAnsi="宋体" w:eastAsia="宋体"/>
          <w:b w:val="0"/>
          <w:color w:val="000000"/>
          <w:sz w:val="24"/>
        </w:rPr>
        <w:t>1.1 研究背景和意义</w:t>
      </w:r>
      <w:r>
        <w:rPr>
          <w:rFonts w:ascii="宋体" w:hAnsi="宋体" w:eastAsia="宋体"/>
          <w:b w:val="0"/>
          <w:color w:val="000000"/>
          <w:sz w:val="24"/>
        </w:rPr>
        <w:t xml:space="preserve">  ........................................  1</w:t>
      </w:r>
    </w:p>
    <w:p>
      <w:pPr>
        <w:spacing w:line="360" w:lineRule="auto"/>
      </w:pPr>
      <w:r>
        <w:rPr>
          <w:rFonts w:ascii="宋体" w:hAnsi="宋体" w:eastAsia="宋体"/>
          <w:b w:val="0"/>
          <w:color w:val="000000"/>
          <w:sz w:val="24"/>
        </w:rPr>
        <w:t>1.2 国内外研究现状</w:t>
      </w:r>
      <w:r>
        <w:rPr>
          <w:rFonts w:ascii="宋体" w:hAnsi="宋体" w:eastAsia="宋体"/>
          <w:b w:val="0"/>
          <w:color w:val="000000"/>
          <w:sz w:val="24"/>
        </w:rPr>
        <w:t xml:space="preserve">  ........................................  1</w:t>
      </w:r>
    </w:p>
    <w:p>
      <w:pPr>
        <w:spacing w:line="360" w:lineRule="auto"/>
      </w:pPr>
      <w:r>
        <w:rPr>
          <w:rFonts w:ascii="宋体" w:hAnsi="宋体" w:eastAsia="宋体"/>
          <w:b w:val="0"/>
          <w:color w:val="000000"/>
          <w:sz w:val="24"/>
        </w:rPr>
        <w:t>1.3 研究目标和内容</w:t>
      </w:r>
      <w:r>
        <w:rPr>
          <w:rFonts w:ascii="宋体" w:hAnsi="宋体" w:eastAsia="宋体"/>
          <w:b w:val="0"/>
          <w:color w:val="000000"/>
          <w:sz w:val="24"/>
        </w:rPr>
        <w:t xml:space="preserve">  ........................................  2</w:t>
      </w:r>
    </w:p>
    <w:p>
      <w:pPr>
        <w:spacing w:line="360" w:lineRule="auto"/>
      </w:pPr>
      <w:r>
        <w:rPr>
          <w:rFonts w:ascii="宋体" w:hAnsi="宋体" w:eastAsia="宋体"/>
          <w:b w:val="0"/>
          <w:color w:val="000000"/>
          <w:sz w:val="24"/>
        </w:rPr>
        <w:t>1.4 论文组织框架</w:t>
      </w:r>
      <w:r>
        <w:rPr>
          <w:rFonts w:ascii="宋体" w:hAnsi="宋体" w:eastAsia="宋体"/>
          <w:b w:val="0"/>
          <w:color w:val="000000"/>
          <w:sz w:val="24"/>
        </w:rPr>
        <w:t xml:space="preserve">  ........................................  2</w:t>
      </w:r>
    </w:p>
    <w:p>
      <w:pPr>
        <w:spacing w:line="360" w:lineRule="auto"/>
      </w:pPr>
      <w:r>
        <w:rPr>
          <w:rFonts w:ascii="宋体" w:hAnsi="宋体" w:eastAsia="宋体"/>
          <w:b w:val="0"/>
          <w:color w:val="000000"/>
          <w:sz w:val="24"/>
        </w:rPr>
        <w:t>2 开发技术及开发环境</w:t>
      </w:r>
      <w:r>
        <w:rPr>
          <w:rFonts w:ascii="宋体" w:hAnsi="宋体" w:eastAsia="宋体"/>
          <w:b w:val="0"/>
          <w:color w:val="000000"/>
          <w:sz w:val="24"/>
        </w:rPr>
        <w:t xml:space="preserve">  ........................................  3</w:t>
      </w:r>
    </w:p>
    <w:p>
      <w:pPr>
        <w:spacing w:line="360" w:lineRule="auto"/>
      </w:pPr>
      <w:r>
        <w:rPr>
          <w:rFonts w:ascii="宋体" w:hAnsi="宋体" w:eastAsia="宋体"/>
          <w:b w:val="0"/>
          <w:color w:val="000000"/>
          <w:sz w:val="24"/>
        </w:rPr>
        <w:t>2.1 开发技术</w:t>
      </w:r>
      <w:r>
        <w:rPr>
          <w:rFonts w:ascii="宋体" w:hAnsi="宋体" w:eastAsia="宋体"/>
          <w:b w:val="0"/>
          <w:color w:val="000000"/>
          <w:sz w:val="24"/>
        </w:rPr>
        <w:t xml:space="preserve">  ........................................  3</w:t>
      </w:r>
    </w:p>
    <w:p>
      <w:pPr>
        <w:spacing w:line="360" w:lineRule="auto"/>
      </w:pPr>
      <w:r>
        <w:rPr>
          <w:rFonts w:ascii="宋体" w:hAnsi="宋体" w:eastAsia="宋体"/>
          <w:b w:val="0"/>
          <w:color w:val="000000"/>
          <w:sz w:val="24"/>
        </w:rPr>
        <w:t>2.2 开发环境</w:t>
      </w:r>
      <w:r>
        <w:rPr>
          <w:rFonts w:ascii="宋体" w:hAnsi="宋体" w:eastAsia="宋体"/>
          <w:b w:val="0"/>
          <w:color w:val="000000"/>
          <w:sz w:val="24"/>
        </w:rPr>
        <w:t xml:space="preserve">  ........................................  4</w:t>
      </w:r>
    </w:p>
    <w:p>
      <w:pPr>
        <w:spacing w:line="360" w:lineRule="auto"/>
      </w:pPr>
      <w:r>
        <w:rPr>
          <w:rFonts w:ascii="宋体" w:hAnsi="宋体" w:eastAsia="宋体"/>
          <w:b w:val="0"/>
          <w:color w:val="000000"/>
          <w:sz w:val="24"/>
        </w:rPr>
        <w:t>3 系统分析</w:t>
      </w:r>
      <w:r>
        <w:rPr>
          <w:rFonts w:ascii="宋体" w:hAnsi="宋体" w:eastAsia="宋体"/>
          <w:b w:val="0"/>
          <w:color w:val="000000"/>
          <w:sz w:val="24"/>
        </w:rPr>
        <w:t xml:space="preserve">  ........................................  5</w:t>
      </w:r>
    </w:p>
    <w:p>
      <w:pPr>
        <w:spacing w:line="360" w:lineRule="auto"/>
      </w:pPr>
      <w:r>
        <w:rPr>
          <w:rFonts w:ascii="宋体" w:hAnsi="宋体" w:eastAsia="宋体"/>
          <w:b w:val="0"/>
          <w:color w:val="000000"/>
          <w:sz w:val="24"/>
        </w:rPr>
        <w:t>3.1 可行性分析</w:t>
      </w:r>
      <w:r>
        <w:rPr>
          <w:rFonts w:ascii="宋体" w:hAnsi="宋体" w:eastAsia="宋体"/>
          <w:b w:val="0"/>
          <w:color w:val="000000"/>
          <w:sz w:val="24"/>
        </w:rPr>
        <w:t xml:space="preserve">  ........................................  5</w:t>
      </w:r>
    </w:p>
    <w:p>
      <w:pPr>
        <w:spacing w:line="360" w:lineRule="auto"/>
      </w:pPr>
      <w:r>
        <w:rPr>
          <w:rFonts w:ascii="宋体" w:hAnsi="宋体" w:eastAsia="宋体"/>
          <w:b w:val="0"/>
          <w:color w:val="000000"/>
          <w:sz w:val="24"/>
        </w:rPr>
        <w:t>3.2 需求分析</w:t>
      </w:r>
      <w:r>
        <w:rPr>
          <w:rFonts w:ascii="宋体" w:hAnsi="宋体" w:eastAsia="宋体"/>
          <w:b w:val="0"/>
          <w:color w:val="000000"/>
          <w:sz w:val="24"/>
        </w:rPr>
        <w:t xml:space="preserve">  ........................................  6</w:t>
      </w:r>
    </w:p>
    <w:p>
      <w:pPr>
        <w:spacing w:line="360" w:lineRule="auto"/>
      </w:pPr>
      <w:r>
        <w:rPr>
          <w:rFonts w:ascii="宋体" w:hAnsi="宋体" w:eastAsia="宋体"/>
          <w:b w:val="0"/>
          <w:color w:val="000000"/>
          <w:sz w:val="24"/>
        </w:rPr>
        <w:t>4 系统概要设计</w:t>
      </w:r>
      <w:r>
        <w:rPr>
          <w:rFonts w:ascii="宋体" w:hAnsi="宋体" w:eastAsia="宋体"/>
          <w:b w:val="0"/>
          <w:color w:val="000000"/>
          <w:sz w:val="24"/>
        </w:rPr>
        <w:t xml:space="preserve">  ........................................  7</w:t>
      </w:r>
    </w:p>
    <w:p>
      <w:pPr>
        <w:spacing w:line="360" w:lineRule="auto"/>
      </w:pPr>
      <w:r>
        <w:rPr>
          <w:rFonts w:ascii="宋体" w:hAnsi="宋体" w:eastAsia="宋体"/>
          <w:b w:val="0"/>
          <w:color w:val="000000"/>
          <w:sz w:val="24"/>
        </w:rPr>
        <w:t>4.1 系统架构设计</w:t>
      </w:r>
      <w:r>
        <w:rPr>
          <w:rFonts w:ascii="宋体" w:hAnsi="宋体" w:eastAsia="宋体"/>
          <w:b w:val="0"/>
          <w:color w:val="000000"/>
          <w:sz w:val="24"/>
        </w:rPr>
        <w:t xml:space="preserve">  ........................................  7</w:t>
      </w:r>
    </w:p>
    <w:p>
      <w:pPr>
        <w:spacing w:line="360" w:lineRule="auto"/>
      </w:pPr>
      <w:r>
        <w:rPr>
          <w:rFonts w:ascii="宋体" w:hAnsi="宋体" w:eastAsia="宋体"/>
          <w:b w:val="0"/>
          <w:color w:val="000000"/>
          <w:sz w:val="24"/>
        </w:rPr>
        <w:t>4.2 系统功能设计</w:t>
      </w:r>
      <w:r>
        <w:rPr>
          <w:rFonts w:ascii="宋体" w:hAnsi="宋体" w:eastAsia="宋体"/>
          <w:b w:val="0"/>
          <w:color w:val="000000"/>
          <w:sz w:val="24"/>
        </w:rPr>
        <w:t xml:space="preserve">  ........................................  7</w:t>
      </w:r>
    </w:p>
    <w:p>
      <w:pPr>
        <w:spacing w:line="360" w:lineRule="auto"/>
      </w:pPr>
      <w:r>
        <w:rPr>
          <w:rFonts w:ascii="宋体" w:hAnsi="宋体" w:eastAsia="宋体"/>
          <w:b w:val="0"/>
          <w:color w:val="000000"/>
          <w:sz w:val="24"/>
        </w:rPr>
        <w:t>4.3 系统业务流程设计</w:t>
      </w:r>
      <w:r>
        <w:rPr>
          <w:rFonts w:ascii="宋体" w:hAnsi="宋体" w:eastAsia="宋体"/>
          <w:b w:val="0"/>
          <w:color w:val="000000"/>
          <w:sz w:val="24"/>
        </w:rPr>
        <w:t xml:space="preserve">  ........................................  8</w:t>
      </w:r>
    </w:p>
    <w:p>
      <w:pPr>
        <w:spacing w:line="360" w:lineRule="auto"/>
      </w:pPr>
      <w:r>
        <w:rPr>
          <w:rFonts w:ascii="宋体" w:hAnsi="宋体" w:eastAsia="宋体"/>
          <w:b w:val="0"/>
          <w:color w:val="000000"/>
          <w:sz w:val="24"/>
        </w:rPr>
        <w:t>4.4 数据模型设计</w:t>
      </w:r>
      <w:r>
        <w:rPr>
          <w:rFonts w:ascii="宋体" w:hAnsi="宋体" w:eastAsia="宋体"/>
          <w:b w:val="0"/>
          <w:color w:val="000000"/>
          <w:sz w:val="24"/>
        </w:rPr>
        <w:t xml:space="preserve">  ........................................  8</w:t>
      </w:r>
    </w:p>
    <w:p>
      <w:pPr>
        <w:spacing w:line="360" w:lineRule="auto"/>
      </w:pPr>
      <w:r>
        <w:rPr>
          <w:rFonts w:ascii="宋体" w:hAnsi="宋体" w:eastAsia="宋体"/>
          <w:b w:val="0"/>
          <w:color w:val="000000"/>
          <w:sz w:val="24"/>
        </w:rPr>
        <w:t>5 系统详细设计</w:t>
      </w:r>
      <w:r>
        <w:rPr>
          <w:rFonts w:ascii="宋体" w:hAnsi="宋体" w:eastAsia="宋体"/>
          <w:b w:val="0"/>
          <w:color w:val="000000"/>
          <w:sz w:val="24"/>
        </w:rPr>
        <w:t xml:space="preserve">  ........................................  9</w:t>
      </w:r>
    </w:p>
    <w:p>
      <w:pPr>
        <w:spacing w:line="360" w:lineRule="auto"/>
      </w:pPr>
      <w:r>
        <w:rPr>
          <w:rFonts w:ascii="宋体" w:hAnsi="宋体" w:eastAsia="宋体"/>
          <w:b w:val="0"/>
          <w:color w:val="000000"/>
          <w:sz w:val="24"/>
        </w:rPr>
        <w:t>5.1 系统功能模块设计</w:t>
      </w:r>
      <w:r>
        <w:rPr>
          <w:rFonts w:ascii="宋体" w:hAnsi="宋体" w:eastAsia="宋体"/>
          <w:b w:val="0"/>
          <w:color w:val="000000"/>
          <w:sz w:val="24"/>
        </w:rPr>
        <w:t xml:space="preserve">  ........................................  9</w:t>
      </w:r>
    </w:p>
    <w:p>
      <w:pPr>
        <w:spacing w:line="360" w:lineRule="auto"/>
      </w:pPr>
      <w:r>
        <w:rPr>
          <w:rFonts w:ascii="宋体" w:hAnsi="宋体" w:eastAsia="宋体"/>
          <w:b w:val="0"/>
          <w:color w:val="000000"/>
          <w:sz w:val="24"/>
        </w:rPr>
        <w:t>5.2 数据存储设计</w:t>
      </w:r>
      <w:r>
        <w:rPr>
          <w:rFonts w:ascii="宋体" w:hAnsi="宋体" w:eastAsia="宋体"/>
          <w:b w:val="0"/>
          <w:color w:val="000000"/>
          <w:sz w:val="24"/>
        </w:rPr>
        <w:t xml:space="preserve">  ........................................  10</w:t>
      </w:r>
    </w:p>
    <w:p>
      <w:pPr>
        <w:spacing w:line="360" w:lineRule="auto"/>
      </w:pPr>
      <w:r>
        <w:rPr>
          <w:rFonts w:ascii="宋体" w:hAnsi="宋体" w:eastAsia="宋体"/>
          <w:b w:val="0"/>
          <w:color w:val="000000"/>
          <w:sz w:val="24"/>
        </w:rPr>
        <w:t>6 系统实现</w:t>
      </w:r>
      <w:r>
        <w:rPr>
          <w:rFonts w:ascii="宋体" w:hAnsi="宋体" w:eastAsia="宋体"/>
          <w:b w:val="0"/>
          <w:color w:val="000000"/>
          <w:sz w:val="24"/>
        </w:rPr>
        <w:t xml:space="preserve">  ........................................  11</w:t>
      </w:r>
    </w:p>
    <w:p>
      <w:pPr>
        <w:spacing w:line="360" w:lineRule="auto"/>
      </w:pPr>
      <w:r>
        <w:rPr>
          <w:rFonts w:ascii="宋体" w:hAnsi="宋体" w:eastAsia="宋体"/>
          <w:b w:val="0"/>
          <w:color w:val="000000"/>
          <w:sz w:val="24"/>
        </w:rPr>
        <w:t>6.1 用户认证</w:t>
      </w:r>
      <w:r>
        <w:rPr>
          <w:rFonts w:ascii="宋体" w:hAnsi="宋体" w:eastAsia="宋体"/>
          <w:b w:val="0"/>
          <w:color w:val="000000"/>
          <w:sz w:val="24"/>
        </w:rPr>
        <w:t xml:space="preserve">  ........................................  11</w:t>
      </w:r>
    </w:p>
    <w:p>
      <w:pPr>
        <w:spacing w:line="360" w:lineRule="auto"/>
      </w:pPr>
      <w:r>
        <w:rPr>
          <w:rFonts w:ascii="宋体" w:hAnsi="宋体" w:eastAsia="宋体"/>
          <w:b w:val="0"/>
          <w:color w:val="000000"/>
          <w:sz w:val="24"/>
        </w:rPr>
        <w:t>6.2 智能去噪处理</w:t>
      </w:r>
      <w:r>
        <w:rPr>
          <w:rFonts w:ascii="宋体" w:hAnsi="宋体" w:eastAsia="宋体"/>
          <w:b w:val="0"/>
          <w:color w:val="000000"/>
          <w:sz w:val="24"/>
        </w:rPr>
        <w:t xml:space="preserve">  ........................................  12</w:t>
      </w:r>
    </w:p>
    <w:p>
      <w:pPr>
        <w:spacing w:line="360" w:lineRule="auto"/>
      </w:pPr>
      <w:r>
        <w:rPr>
          <w:rFonts w:ascii="宋体" w:hAnsi="宋体" w:eastAsia="宋体"/>
          <w:b w:val="0"/>
          <w:color w:val="000000"/>
          <w:sz w:val="24"/>
        </w:rPr>
        <w:t>6.3 智能对话助手</w:t>
      </w:r>
      <w:r>
        <w:rPr>
          <w:rFonts w:ascii="宋体" w:hAnsi="宋体" w:eastAsia="宋体"/>
          <w:b w:val="0"/>
          <w:color w:val="000000"/>
          <w:sz w:val="24"/>
        </w:rPr>
        <w:t xml:space="preserve">  ........................................  13</w:t>
      </w:r>
    </w:p>
    <w:p>
      <w:pPr>
        <w:spacing w:line="360" w:lineRule="auto"/>
      </w:pPr>
      <w:r>
        <w:rPr>
          <w:rFonts w:ascii="宋体" w:hAnsi="宋体" w:eastAsia="宋体"/>
          <w:b w:val="0"/>
          <w:color w:val="000000"/>
          <w:sz w:val="24"/>
        </w:rPr>
        <w:t>6.4 论文结果与API监控</w:t>
      </w:r>
      <w:r>
        <w:rPr>
          <w:rFonts w:ascii="宋体" w:hAnsi="宋体" w:eastAsia="宋体"/>
          <w:b w:val="0"/>
          <w:color w:val="000000"/>
          <w:sz w:val="24"/>
        </w:rPr>
        <w:t xml:space="preserve">  ........................................  14</w:t>
      </w:r>
    </w:p>
    <w:p>
      <w:pPr>
        <w:spacing w:line="360" w:lineRule="auto"/>
      </w:pPr>
      <w:r>
        <w:rPr>
          <w:rFonts w:ascii="宋体" w:hAnsi="宋体" w:eastAsia="宋体"/>
          <w:b w:val="0"/>
          <w:color w:val="000000"/>
          <w:sz w:val="24"/>
        </w:rPr>
        <w:t>7 系统测试</w:t>
      </w:r>
      <w:r>
        <w:rPr>
          <w:rFonts w:ascii="宋体" w:hAnsi="宋体" w:eastAsia="宋体"/>
          <w:b w:val="0"/>
          <w:color w:val="000000"/>
          <w:sz w:val="24"/>
        </w:rPr>
        <w:t xml:space="preserve">  ........................................  15</w:t>
      </w:r>
    </w:p>
    <w:p>
      <w:pPr>
        <w:spacing w:line="360" w:lineRule="auto"/>
      </w:pPr>
      <w:r>
        <w:rPr>
          <w:rFonts w:ascii="宋体" w:hAnsi="宋体" w:eastAsia="宋体"/>
          <w:b w:val="0"/>
          <w:color w:val="000000"/>
          <w:sz w:val="24"/>
        </w:rPr>
        <w:t>7.1 测试方法</w:t>
      </w:r>
      <w:r>
        <w:rPr>
          <w:rFonts w:ascii="宋体" w:hAnsi="宋体" w:eastAsia="宋体"/>
          <w:b w:val="0"/>
          <w:color w:val="000000"/>
          <w:sz w:val="24"/>
        </w:rPr>
        <w:t xml:space="preserve">  ........................................  15</w:t>
      </w:r>
    </w:p>
    <w:p>
      <w:pPr>
        <w:spacing w:line="360" w:lineRule="auto"/>
      </w:pPr>
      <w:r>
        <w:rPr>
          <w:rFonts w:ascii="宋体" w:hAnsi="宋体" w:eastAsia="宋体"/>
          <w:b w:val="0"/>
          <w:color w:val="000000"/>
          <w:sz w:val="24"/>
        </w:rPr>
        <w:t>7.2 功能模块测试</w:t>
      </w:r>
      <w:r>
        <w:rPr>
          <w:rFonts w:ascii="宋体" w:hAnsi="宋体" w:eastAsia="宋体"/>
          <w:b w:val="0"/>
          <w:color w:val="000000"/>
          <w:sz w:val="24"/>
        </w:rPr>
        <w:t xml:space="preserve">  ........................................  15</w:t>
      </w:r>
    </w:p>
    <w:p>
      <w:pPr>
        <w:spacing w:line="360" w:lineRule="auto"/>
      </w:pPr>
      <w:r>
        <w:rPr>
          <w:rFonts w:ascii="宋体" w:hAnsi="宋体" w:eastAsia="宋体"/>
          <w:b w:val="0"/>
          <w:color w:val="000000"/>
          <w:sz w:val="24"/>
        </w:rPr>
        <w:t>7.3 系统性能测试</w:t>
      </w:r>
      <w:r>
        <w:rPr>
          <w:rFonts w:ascii="宋体" w:hAnsi="宋体" w:eastAsia="宋体"/>
          <w:b w:val="0"/>
          <w:color w:val="000000"/>
          <w:sz w:val="24"/>
        </w:rPr>
        <w:t xml:space="preserve">  ........................................  16</w:t>
      </w:r>
    </w:p>
    <w:p>
      <w:pPr>
        <w:spacing w:line="360" w:lineRule="auto"/>
      </w:pPr>
      <w:r>
        <w:rPr>
          <w:rFonts w:ascii="宋体" w:hAnsi="宋体" w:eastAsia="宋体"/>
          <w:b w:val="0"/>
          <w:color w:val="000000"/>
          <w:sz w:val="24"/>
        </w:rPr>
        <w:t>7.4 测试分析和总结</w:t>
      </w:r>
      <w:r>
        <w:rPr>
          <w:rFonts w:ascii="宋体" w:hAnsi="宋体" w:eastAsia="宋体"/>
          <w:b w:val="0"/>
          <w:color w:val="000000"/>
          <w:sz w:val="24"/>
        </w:rPr>
        <w:t xml:space="preserve">  ........................................  16</w:t>
      </w:r>
    </w:p>
    <w:p>
      <w:pPr>
        <w:spacing w:line="360" w:lineRule="auto"/>
      </w:pPr>
      <w:r>
        <w:rPr>
          <w:rFonts w:ascii="宋体" w:hAnsi="宋体" w:eastAsia="宋体"/>
          <w:b w:val="0"/>
          <w:color w:val="000000"/>
          <w:sz w:val="24"/>
        </w:rPr>
        <w:t>8 结论与展望</w:t>
      </w:r>
      <w:r>
        <w:rPr>
          <w:rFonts w:ascii="宋体" w:hAnsi="宋体" w:eastAsia="宋体"/>
          <w:b w:val="0"/>
          <w:color w:val="000000"/>
          <w:sz w:val="24"/>
        </w:rPr>
        <w:t xml:space="preserve">  ........................................  17</w:t>
      </w:r>
    </w:p>
    <w:p>
      <w:pPr>
        <w:spacing w:line="360" w:lineRule="auto"/>
      </w:pPr>
      <w:r>
        <w:rPr>
          <w:rFonts w:ascii="宋体" w:hAnsi="宋体" w:eastAsia="宋体"/>
          <w:b w:val="0"/>
          <w:color w:val="000000"/>
          <w:sz w:val="24"/>
        </w:rPr>
        <w:t>参考文献</w:t>
      </w:r>
      <w:r>
        <w:rPr>
          <w:rFonts w:ascii="宋体" w:hAnsi="宋体" w:eastAsia="宋体"/>
          <w:b w:val="0"/>
          <w:color w:val="000000"/>
          <w:sz w:val="24"/>
        </w:rPr>
        <w:t xml:space="preserve">  ........................................  18</w:t>
      </w:r>
    </w:p>
    <w:p>
      <w:pPr>
        <w:spacing w:line="360" w:lineRule="auto"/>
      </w:pPr>
      <w:r>
        <w:rPr>
          <w:rFonts w:ascii="宋体" w:hAnsi="宋体" w:eastAsia="宋体"/>
          <w:b w:val="0"/>
          <w:color w:val="000000"/>
          <w:sz w:val="24"/>
        </w:rPr>
        <w:t>致  谢</w:t>
      </w:r>
      <w:r>
        <w:rPr>
          <w:rFonts w:ascii="宋体" w:hAnsi="宋体" w:eastAsia="宋体"/>
          <w:b w:val="0"/>
          <w:color w:val="000000"/>
          <w:sz w:val="24"/>
        </w:rPr>
        <w:t xml:space="preserve">  ........................................  19</w:t>
      </w:r>
    </w:p>
    <w:p>
      <w:r>
        <w:br w:type="page"/>
      </w:r>
    </w:p>
    <w:p>
      <w:pPr>
        <w:spacing w:line="360" w:lineRule="auto" w:before="360" w:after="240"/>
        <w:jc w:val="left"/>
      </w:pPr>
      <w:r>
        <w:rPr>
          <w:rFonts w:ascii="黑体" w:hAnsi="黑体" w:eastAsia="黑体"/>
          <w:b/>
          <w:color w:val="000000"/>
          <w:sz w:val="32"/>
        </w:rPr>
        <w:t>1 绪论</w:t>
      </w:r>
    </w:p>
    <w:p>
      <w:pPr>
        <w:spacing w:line="360" w:lineRule="auto" w:before="240" w:after="120"/>
        <w:jc w:val="left"/>
      </w:pPr>
      <w:r>
        <w:rPr>
          <w:rFonts w:ascii="黑体" w:hAnsi="黑体" w:eastAsia="黑体"/>
          <w:b/>
          <w:color w:val="000000"/>
          <w:sz w:val="28"/>
        </w:rPr>
        <w:t>1.1 研究背景和意义</w:t>
      </w:r>
    </w:p>
    <w:p>
      <w:pPr>
        <w:spacing w:line="360" w:lineRule="auto" w:after="120"/>
        <w:jc w:val="both"/>
      </w:pPr>
      <w:r>
        <w:rPr>
          <w:rFonts w:ascii="宋体" w:hAnsi="宋体" w:eastAsia="宋体"/>
          <w:b w:val="0"/>
          <w:color w:val="000000"/>
          <w:sz w:val="24"/>
        </w:rPr>
        <w:t>医学影像作为临床诊断的重要依据，其图像质量直接关系到医生对病灶位置、形态与边界的判断。然而，受设备噪声、低剂量成像需求、传输压缩及患者运动等因素影响，CT、MRI与X光影像往往存在不同程度的噪声。噪声不仅会降低图像的视觉可读性，还可能导致细节丢失，影响后续分割、配准与计算机辅助诊断算法的精度。因此，医学影像去噪是医学图像处理领域的核心问题之一。</w:t>
      </w:r>
    </w:p>
    <w:p>
      <w:pPr>
        <w:spacing w:line="360" w:lineRule="auto" w:after="120"/>
        <w:jc w:val="both"/>
      </w:pPr>
      <w:r>
        <w:rPr>
          <w:rFonts w:ascii="宋体" w:hAnsi="宋体" w:eastAsia="宋体"/>
          <w:b w:val="0"/>
          <w:color w:val="000000"/>
          <w:sz w:val="24"/>
        </w:rPr>
        <w:t>传统的图像去噪方法通常依赖人工设定参数，如高斯滤波的标准差、BM3D的去噪强度等。面对不同模态、不同噪声水平、不同结构特征的医学影像，固定参数难以兼顾去噪效果与细节保留。近年来，以智能Agent为代表的自主决策技术在复杂任务中展现出强大的规划与 reasoning 能力。将Agent技术与经典去噪算法相结合，使系统能够自动感知影像特征、智能选择参数、执行去噪并评估质量，对于提升医学影像处理效率、降低人工干预、推动智能医疗具有重要的现实意义。</w:t>
      </w:r>
    </w:p>
    <w:p>
      <w:pPr>
        <w:spacing w:line="360" w:lineRule="auto" w:before="240" w:after="120"/>
        <w:jc w:val="left"/>
      </w:pPr>
      <w:r>
        <w:rPr>
          <w:rFonts w:ascii="黑体" w:hAnsi="黑体" w:eastAsia="黑体"/>
          <w:b/>
          <w:color w:val="000000"/>
          <w:sz w:val="28"/>
        </w:rPr>
        <w:t>1.2 国内外研究现状</w:t>
      </w:r>
    </w:p>
    <w:p>
      <w:pPr>
        <w:spacing w:line="360" w:lineRule="auto" w:after="120"/>
        <w:jc w:val="both"/>
      </w:pPr>
      <w:r>
        <w:rPr>
          <w:rFonts w:ascii="宋体" w:hAnsi="宋体" w:eastAsia="宋体"/>
          <w:b w:val="0"/>
          <w:color w:val="000000"/>
          <w:sz w:val="24"/>
        </w:rPr>
        <w:t>图像去噪研究经历了从空间域滤波到变换域协同滤波、再到深度学习的发展过程。Gaussian滤波、中值滤波等非局部滤波计算简单但容易模糊边缘；非局部均值（NLM）滤波利用图像自相似性，在保留纹理方面有所改善；BM3D通过三维变换域协同滤波取得了当时领先的PSNR性能，被广泛应用于医学影像预处理。在此基础上，Peng等人提出的VT-BM3D引入结构感知自适应匹配阈值，结合局部方差与结构张量特征，在强去噪与边缘保护之间取得更好平衡。</w:t>
      </w:r>
    </w:p>
    <w:p>
      <w:pPr>
        <w:spacing w:line="360" w:lineRule="auto" w:after="120"/>
        <w:jc w:val="both"/>
      </w:pPr>
      <w:r>
        <w:rPr>
          <w:rFonts w:ascii="宋体" w:hAnsi="宋体" w:eastAsia="宋体"/>
          <w:b w:val="0"/>
          <w:color w:val="000000"/>
          <w:sz w:val="24"/>
        </w:rPr>
        <w:t>深度学习方法方面，DnCNN通过残差学习实现端到端去噪，FFDNet、CBDNet等进一步支持盲去噪与噪声水平自适应；然而深度模型需要大量训练数据，对医学影像等小样本场景迁移能力有限。在智能Agent方面，ReAct、AutoGPT、LangChain等框架展示了LLM作为规划器调用外部工具的潜力。将LLM与领域知识库、记忆机制结合用于算法参数调优，是当前Agent系统研究的重要方向。MedDenoise-Agent正是在此背景下，将VT-BM3D等经典算法与智能Agent调参能力集成，形成可解释、可复用的医学影像去噪平台。</w:t>
      </w:r>
    </w:p>
    <w:p>
      <w:pPr>
        <w:spacing w:line="360" w:lineRule="auto" w:before="240" w:after="120"/>
        <w:jc w:val="left"/>
      </w:pPr>
      <w:r>
        <w:rPr>
          <w:rFonts w:ascii="黑体" w:hAnsi="黑体" w:eastAsia="黑体"/>
          <w:b/>
          <w:color w:val="000000"/>
          <w:sz w:val="28"/>
        </w:rPr>
        <w:t>1.3 研究目标和内容</w:t>
      </w:r>
    </w:p>
    <w:p>
      <w:pPr>
        <w:spacing w:line="360" w:lineRule="auto" w:after="120"/>
        <w:jc w:val="both"/>
      </w:pPr>
      <w:r>
        <w:rPr>
          <w:rFonts w:ascii="宋体" w:hAnsi="宋体" w:eastAsia="宋体"/>
          <w:b w:val="0"/>
          <w:color w:val="000000"/>
          <w:sz w:val="24"/>
        </w:rPr>
        <w:t>本课题的目标是设计并实现一个基于智能Agent的医学影像去噪与质量增强系统，主要内容包括：</w:t>
      </w:r>
    </w:p>
    <w:p>
      <w:pPr>
        <w:spacing w:line="360" w:lineRule="auto" w:after="120"/>
        <w:jc w:val="both"/>
      </w:pPr>
      <w:r>
        <w:rPr>
          <w:rFonts w:ascii="宋体" w:hAnsi="宋体" w:eastAsia="宋体"/>
          <w:b w:val="0"/>
          <w:color w:val="000000"/>
          <w:sz w:val="24"/>
        </w:rPr>
        <w:t>（1）实现VT-BM3D核心去噪算法，完成局部方差、结构张量、显著性图构建及强/弱BM3D融合；（2）构建多Agent协作框架，完成感知、决策、执行、评估与协调五个角色的闭环协同；（3）实现技能知识库与案例记忆，为LLM或规则引擎提供领域知识支持；（4）开发基于Vue3与ECharts的可视化前端，实时展示处理流水线、指标与AI思考过程；（5）完成FastAPI后端服务，提供认证、上传、SSE流式处理与API监控等功能；（6）在标准数据集与医学影像示例上验证系统去噪性能与Agent调参效果。</w:t>
      </w:r>
    </w:p>
    <w:p>
      <w:pPr>
        <w:spacing w:line="360" w:lineRule="auto" w:before="240" w:after="120"/>
        <w:jc w:val="left"/>
      </w:pPr>
      <w:r>
        <w:rPr>
          <w:rFonts w:ascii="黑体" w:hAnsi="黑体" w:eastAsia="黑体"/>
          <w:b/>
          <w:color w:val="000000"/>
          <w:sz w:val="28"/>
        </w:rPr>
        <w:t>1.4 论文组织框架</w:t>
      </w:r>
    </w:p>
    <w:p>
      <w:pPr>
        <w:spacing w:line="360" w:lineRule="auto" w:after="120"/>
        <w:jc w:val="both"/>
      </w:pPr>
      <w:r>
        <w:rPr>
          <w:rFonts w:ascii="宋体" w:hAnsi="宋体" w:eastAsia="宋体"/>
          <w:b w:val="0"/>
          <w:color w:val="000000"/>
          <w:sz w:val="24"/>
        </w:rPr>
        <w:t>本文共分为八章。第1章介绍研究背景、现状与目标；第2章介绍系统所采用的开发技术与环境；第3章进行可行性分析与需求分析；第4章给出系统概要设计，包括架构、功能、业务流程与数据模型；第5章详细阐述各功能模块与数据存储设计；第6章展示系统实现效果与核心代码；第7章描述测试方法与结果；第8章总结全文并展望未来工作。</w:t>
      </w:r>
    </w:p>
    <w:p>
      <w:r>
        <w:br w:type="page"/>
      </w:r>
    </w:p>
    <w:p>
      <w:pPr>
        <w:spacing w:line="360" w:lineRule="auto" w:before="360" w:after="240"/>
        <w:jc w:val="left"/>
      </w:pPr>
      <w:r>
        <w:rPr>
          <w:rFonts w:ascii="黑体" w:hAnsi="黑体" w:eastAsia="黑体"/>
          <w:b/>
          <w:color w:val="000000"/>
          <w:sz w:val="32"/>
        </w:rPr>
        <w:t>2 开发技术及开发环境</w:t>
      </w:r>
    </w:p>
    <w:p>
      <w:pPr>
        <w:spacing w:line="360" w:lineRule="auto" w:before="240" w:after="120"/>
        <w:jc w:val="left"/>
      </w:pPr>
      <w:r>
        <w:rPr>
          <w:rFonts w:ascii="黑体" w:hAnsi="黑体" w:eastAsia="黑体"/>
          <w:b/>
          <w:color w:val="000000"/>
          <w:sz w:val="28"/>
        </w:rPr>
        <w:t>2.1 开发技术</w:t>
      </w:r>
    </w:p>
    <w:p>
      <w:pPr>
        <w:spacing w:line="360" w:lineRule="auto" w:after="120"/>
        <w:jc w:val="both"/>
      </w:pPr>
      <w:r>
        <w:rPr>
          <w:rFonts w:ascii="宋体" w:hAnsi="宋体" w:eastAsia="宋体"/>
          <w:b w:val="0"/>
          <w:color w:val="000000"/>
          <w:sz w:val="24"/>
        </w:rPr>
        <w:t>本项目后端采用Python 3.x开发，核心依赖包括NumPy、SciPy、scikit-image、OpenCV、BM3d、PyTorch等。</w:t>
      </w:r>
    </w:p>
    <w:p>
      <w:pPr>
        <w:spacing w:line="360" w:lineRule="auto" w:before="120" w:after="60"/>
        <w:jc w:val="left"/>
      </w:pPr>
      <w:r>
        <w:rPr>
          <w:rFonts w:ascii="黑体" w:hAnsi="黑体" w:eastAsia="黑体"/>
          <w:b/>
          <w:color w:val="000000"/>
          <w:sz w:val="24"/>
        </w:rPr>
        <w:t>2.1.1 Python科学计算与图像处理</w:t>
      </w:r>
    </w:p>
    <w:p>
      <w:pPr>
        <w:spacing w:line="360" w:lineRule="auto" w:after="120"/>
        <w:jc w:val="both"/>
      </w:pPr>
      <w:r>
        <w:rPr>
          <w:rFonts w:ascii="宋体" w:hAnsi="宋体" w:eastAsia="宋体"/>
          <w:b w:val="0"/>
          <w:color w:val="000000"/>
          <w:sz w:val="24"/>
        </w:rPr>
        <w:t>NumPy与SciPy提供多维数组操作与科学计算能力；scikit-image提供结构张量、高斯滤波、小波去噪、NLM等算法；OpenCV用于图像读取、缩放与形态学预处理；BM3d库实现标准BM3D与VT-BM3D的协同滤波。</w:t>
      </w:r>
    </w:p>
    <w:p>
      <w:pPr>
        <w:spacing w:line="360" w:lineRule="auto" w:before="120" w:after="60"/>
        <w:jc w:val="left"/>
      </w:pPr>
      <w:r>
        <w:rPr>
          <w:rFonts w:ascii="黑体" w:hAnsi="黑体" w:eastAsia="黑体"/>
          <w:b/>
          <w:color w:val="000000"/>
          <w:sz w:val="24"/>
        </w:rPr>
        <w:t>2.1.2 深度学习与PyTorch</w:t>
      </w:r>
    </w:p>
    <w:p>
      <w:pPr>
        <w:spacing w:line="360" w:lineRule="auto" w:after="120"/>
        <w:jc w:val="both"/>
      </w:pPr>
      <w:r>
        <w:rPr>
          <w:rFonts w:ascii="宋体" w:hAnsi="宋体" w:eastAsia="宋体"/>
          <w:b w:val="0"/>
          <w:color w:val="000000"/>
          <w:sz w:val="24"/>
        </w:rPr>
        <w:t>PyTorch用于加载与运行DnCNN预训练权重，实现基于残差学习的去噪网络；系统支持DnCNN作为可选去噪器，与VT-BM3D形成对比，便于用户根据速度与效果需求进行选择。</w:t>
      </w:r>
    </w:p>
    <w:p>
      <w:pPr>
        <w:spacing w:line="360" w:lineRule="auto" w:before="120" w:after="60"/>
        <w:jc w:val="left"/>
      </w:pPr>
      <w:r>
        <w:rPr>
          <w:rFonts w:ascii="黑体" w:hAnsi="黑体" w:eastAsia="黑体"/>
          <w:b/>
          <w:color w:val="000000"/>
          <w:sz w:val="24"/>
        </w:rPr>
        <w:t>2.1.3 多Agent与LLM</w:t>
      </w:r>
    </w:p>
    <w:p>
      <w:pPr>
        <w:spacing w:line="360" w:lineRule="auto" w:after="120"/>
        <w:jc w:val="both"/>
      </w:pPr>
      <w:r>
        <w:rPr>
          <w:rFonts w:ascii="宋体" w:hAnsi="宋体" w:eastAsia="宋体"/>
          <w:b w:val="0"/>
          <w:color w:val="000000"/>
          <w:sz w:val="24"/>
        </w:rPr>
        <w:t>协调Agent（Coordinator）编排感知、决策、执行、评估四个子Agent；规划Agent（PlanningAgent）支持LLM规划与规则引擎两种模式，通过JSON Schema调用去噪与增强工具；Anthropic Python SDK通过OpenAI兼容代理调用gpt-5.4模型完成AI分析与参数推荐，无API Key时自动切换专家规则。</w:t>
      </w:r>
    </w:p>
    <w:p>
      <w:pPr>
        <w:spacing w:line="360" w:lineRule="auto" w:before="120" w:after="60"/>
        <w:jc w:val="left"/>
      </w:pPr>
      <w:r>
        <w:rPr>
          <w:rFonts w:ascii="黑体" w:hAnsi="黑体" w:eastAsia="黑体"/>
          <w:b/>
          <w:color w:val="000000"/>
          <w:sz w:val="24"/>
        </w:rPr>
        <w:t>2.1.4 Web前后端</w:t>
      </w:r>
    </w:p>
    <w:p>
      <w:pPr>
        <w:spacing w:line="360" w:lineRule="auto" w:after="120"/>
        <w:jc w:val="both"/>
      </w:pPr>
      <w:r>
        <w:rPr>
          <w:rFonts w:ascii="宋体" w:hAnsi="宋体" w:eastAsia="宋体"/>
          <w:b w:val="0"/>
          <w:color w:val="000000"/>
          <w:sz w:val="24"/>
        </w:rPr>
        <w:t>后端采用FastAPI提供RESTful接口与Server-Sent Events（SSE）流式响应；前端采用Vue3单页应用结合ECharts图表库，实现响应式布局、处理流水线动画与指标可视化。</w:t>
      </w:r>
    </w:p>
    <w:p>
      <w:pPr>
        <w:spacing w:line="360" w:lineRule="auto" w:before="240" w:after="120"/>
        <w:jc w:val="left"/>
      </w:pPr>
      <w:r>
        <w:rPr>
          <w:rFonts w:ascii="黑体" w:hAnsi="黑体" w:eastAsia="黑体"/>
          <w:b/>
          <w:color w:val="000000"/>
          <w:sz w:val="28"/>
        </w:rPr>
        <w:t>2.2 开发环境</w:t>
      </w:r>
    </w:p>
    <w:p>
      <w:pPr>
        <w:spacing w:line="360" w:lineRule="auto" w:after="120"/>
        <w:jc w:val="both"/>
      </w:pPr>
      <w:r>
        <w:rPr>
          <w:rFonts w:ascii="宋体" w:hAnsi="宋体" w:eastAsia="宋体"/>
          <w:b w:val="0"/>
          <w:color w:val="000000"/>
          <w:sz w:val="24"/>
        </w:rPr>
        <w:t>开发环境为Ubuntu Linux，Python版本3.10+，使用pip管理依赖。运行命令为 `python server.py`，服务默认监听 http://localhost:8000。浏览器通过Chrome进行前端访问与截图测试；Git版本管理托管于GitHub；API Key通过`.env`文件本地配置，不进入版本库，保证安全性。</w:t>
      </w:r>
    </w:p>
    <w:p>
      <w:r>
        <w:br w:type="page"/>
      </w:r>
    </w:p>
    <w:p>
      <w:pPr>
        <w:spacing w:line="360" w:lineRule="auto" w:before="360" w:after="240"/>
        <w:jc w:val="left"/>
      </w:pPr>
      <w:r>
        <w:rPr>
          <w:rFonts w:ascii="黑体" w:hAnsi="黑体" w:eastAsia="黑体"/>
          <w:b/>
          <w:color w:val="000000"/>
          <w:sz w:val="32"/>
        </w:rPr>
        <w:t>3 系统分析</w:t>
      </w:r>
    </w:p>
    <w:p>
      <w:pPr>
        <w:spacing w:line="360" w:lineRule="auto" w:before="240" w:after="120"/>
        <w:jc w:val="left"/>
      </w:pPr>
      <w:r>
        <w:rPr>
          <w:rFonts w:ascii="黑体" w:hAnsi="黑体" w:eastAsia="黑体"/>
          <w:b/>
          <w:color w:val="000000"/>
          <w:sz w:val="28"/>
        </w:rPr>
        <w:t>3.1 可行性分析</w:t>
      </w:r>
    </w:p>
    <w:p>
      <w:pPr>
        <w:spacing w:line="360" w:lineRule="auto" w:before="120" w:after="60"/>
        <w:jc w:val="left"/>
      </w:pPr>
      <w:r>
        <w:rPr>
          <w:rFonts w:ascii="黑体" w:hAnsi="黑体" w:eastAsia="黑体"/>
          <w:b/>
          <w:color w:val="000000"/>
          <w:sz w:val="24"/>
        </w:rPr>
        <w:t>3.1.1 技术可行性</w:t>
      </w:r>
    </w:p>
    <w:p>
      <w:pPr>
        <w:spacing w:line="360" w:lineRule="auto" w:after="120"/>
        <w:jc w:val="both"/>
      </w:pPr>
      <w:r>
        <w:rPr>
          <w:rFonts w:ascii="宋体" w:hAnsi="宋体" w:eastAsia="宋体"/>
          <w:b w:val="0"/>
          <w:color w:val="000000"/>
          <w:sz w:val="24"/>
        </w:rPr>
        <w:t>VT-BM3D算法、BM3D库、scikit-image、FastAPI、Vue3与LLM SDK均为成熟开源技术，相关算法与框架文档丰富，社区活跃。通过组合开源组件，可以在较短周期内完成系统开发。</w:t>
      </w:r>
    </w:p>
    <w:p>
      <w:pPr>
        <w:spacing w:line="360" w:lineRule="auto" w:before="120" w:after="60"/>
        <w:jc w:val="left"/>
      </w:pPr>
      <w:r>
        <w:rPr>
          <w:rFonts w:ascii="黑体" w:hAnsi="黑体" w:eastAsia="黑体"/>
          <w:b/>
          <w:color w:val="000000"/>
          <w:sz w:val="24"/>
        </w:rPr>
        <w:t>3.1.2 经济可行性</w:t>
      </w:r>
    </w:p>
    <w:p>
      <w:pPr>
        <w:spacing w:line="360" w:lineRule="auto" w:after="120"/>
        <w:jc w:val="both"/>
      </w:pPr>
      <w:r>
        <w:rPr>
          <w:rFonts w:ascii="宋体" w:hAnsi="宋体" w:eastAsia="宋体"/>
          <w:b w:val="0"/>
          <w:color w:val="000000"/>
          <w:sz w:val="24"/>
        </w:rPr>
        <w:t>系统主要依赖开源库与公有API（可选），无需购买商业软件或专用硬件；LLM调用按token计费，日常调试与小规模使用成本可控，且支持无LLM离线运行。</w:t>
      </w:r>
    </w:p>
    <w:p>
      <w:pPr>
        <w:spacing w:line="360" w:lineRule="auto" w:before="120" w:after="60"/>
        <w:jc w:val="left"/>
      </w:pPr>
      <w:r>
        <w:rPr>
          <w:rFonts w:ascii="黑体" w:hAnsi="黑体" w:eastAsia="黑体"/>
          <w:b/>
          <w:color w:val="000000"/>
          <w:sz w:val="24"/>
        </w:rPr>
        <w:t>3.1.3 操作可行性</w:t>
      </w:r>
    </w:p>
    <w:p>
      <w:pPr>
        <w:spacing w:line="360" w:lineRule="auto" w:after="120"/>
        <w:jc w:val="both"/>
      </w:pPr>
      <w:r>
        <w:rPr>
          <w:rFonts w:ascii="宋体" w:hAnsi="宋体" w:eastAsia="宋体"/>
          <w:b w:val="0"/>
          <w:color w:val="000000"/>
          <w:sz w:val="24"/>
        </w:rPr>
        <w:t>系统提供Web可视化界面，用户只需上传或选择示例、点击处理按钮即可获取去噪结果与指标；API监控页可查看调用统计与费用，便于用户控制系统开销。</w:t>
      </w:r>
    </w:p>
    <w:p>
      <w:pPr>
        <w:spacing w:line="360" w:lineRule="auto" w:before="240" w:after="120"/>
        <w:jc w:val="left"/>
      </w:pPr>
      <w:r>
        <w:rPr>
          <w:rFonts w:ascii="黑体" w:hAnsi="黑体" w:eastAsia="黑体"/>
          <w:b/>
          <w:color w:val="000000"/>
          <w:sz w:val="28"/>
        </w:rPr>
        <w:t>3.2 需求分析</w:t>
      </w:r>
    </w:p>
    <w:p>
      <w:pPr>
        <w:spacing w:line="360" w:lineRule="auto" w:before="120" w:after="60"/>
        <w:jc w:val="left"/>
      </w:pPr>
      <w:r>
        <w:rPr>
          <w:rFonts w:ascii="黑体" w:hAnsi="黑体" w:eastAsia="黑体"/>
          <w:b/>
          <w:color w:val="000000"/>
          <w:sz w:val="24"/>
        </w:rPr>
        <w:t>3.2.1 功能性需求</w:t>
      </w:r>
    </w:p>
    <w:p>
      <w:pPr>
        <w:spacing w:line="360" w:lineRule="auto" w:after="120"/>
        <w:jc w:val="both"/>
      </w:pPr>
      <w:r>
        <w:rPr>
          <w:rFonts w:ascii="宋体" w:hAnsi="宋体" w:eastAsia="宋体"/>
          <w:b w:val="0"/>
          <w:color w:val="000000"/>
          <w:sz w:val="24"/>
        </w:rPr>
        <w:t>FR1 用户注册、登录、重置密码与Token认证；FR2 医学影像上传与示例数据集选择；FR3 噪声水平估计、结构感知分析与模态识别；FR4 标准VT-BM3D处理与AI智能调参处理；FR5 实时展示AI分析、调参方案、执行过程与结果指标；FR6 智能对话助手，支持论文解读、参数解释与处理记录查询；FR7 论文结果、消融实验与Agent调参对比可视化；FR8 API调用统计、模型选择与token限额控制。</w:t>
      </w:r>
    </w:p>
    <w:p>
      <w:pPr>
        <w:spacing w:line="360" w:lineRule="auto" w:before="120" w:after="60"/>
        <w:jc w:val="left"/>
      </w:pPr>
      <w:r>
        <w:rPr>
          <w:rFonts w:ascii="黑体" w:hAnsi="黑体" w:eastAsia="黑体"/>
          <w:b/>
          <w:color w:val="000000"/>
          <w:sz w:val="24"/>
        </w:rPr>
        <w:t>3.2.2 非功能性需求</w:t>
      </w:r>
    </w:p>
    <w:p>
      <w:pPr>
        <w:spacing w:line="360" w:lineRule="auto" w:after="120"/>
        <w:jc w:val="both"/>
      </w:pPr>
      <w:r>
        <w:rPr>
          <w:rFonts w:ascii="宋体" w:hAnsi="宋体" w:eastAsia="宋体"/>
          <w:b w:val="0"/>
          <w:color w:val="000000"/>
          <w:sz w:val="24"/>
        </w:rPr>
        <w:t>NFR1 性能：标准处理在秒级完成，AI处理通过减少LLM调用将耗时控制在可接受范围；NFR2 可用性：无网络或API Key缺失时自动回退专家规则；NFR3 可扩展性：新去噪工具可通过ToolRegistry注册；NFR4 安全性：密码SHA256哈希存储，API Key不进入版本库。</w:t>
      </w:r>
    </w:p>
    <w:p>
      <w:r>
        <w:br w:type="page"/>
      </w:r>
    </w:p>
    <w:p>
      <w:pPr>
        <w:spacing w:line="360" w:lineRule="auto" w:before="360" w:after="240"/>
        <w:jc w:val="left"/>
      </w:pPr>
      <w:r>
        <w:rPr>
          <w:rFonts w:ascii="黑体" w:hAnsi="黑体" w:eastAsia="黑体"/>
          <w:b/>
          <w:color w:val="000000"/>
          <w:sz w:val="32"/>
        </w:rPr>
        <w:t>4 系统概要设计</w:t>
      </w:r>
    </w:p>
    <w:p>
      <w:pPr>
        <w:spacing w:line="360" w:lineRule="auto" w:before="240" w:after="120"/>
        <w:jc w:val="left"/>
      </w:pPr>
      <w:r>
        <w:rPr>
          <w:rFonts w:ascii="黑体" w:hAnsi="黑体" w:eastAsia="黑体"/>
          <w:b/>
          <w:color w:val="000000"/>
          <w:sz w:val="28"/>
        </w:rPr>
        <w:t>4.1 系统架构设计</w:t>
      </w:r>
    </w:p>
    <w:p>
      <w:pPr>
        <w:spacing w:line="360" w:lineRule="auto" w:after="120"/>
        <w:jc w:val="both"/>
      </w:pPr>
      <w:r>
        <w:rPr>
          <w:rFonts w:ascii="宋体" w:hAnsi="宋体" w:eastAsia="宋体"/>
          <w:b w:val="0"/>
          <w:color w:val="000000"/>
          <w:sz w:val="24"/>
        </w:rPr>
        <w:t>系统整体采用'协调Agent + 四个子Agent + 工具层'的分层架构。协调Agent负责任务编排与迭代控制；感知Agent、决策Agent、执行Agent、评估Agent各司其职；工具层提供去噪、增强、评价等原子能力，并以JSON Schema形式注册到ToolExecutor中。前后端分离：后端FastAPI提供SSE流式事件，前端Vue3监听并实时渲染处理进度。</w:t>
      </w:r>
    </w:p>
    <w:p>
      <w:pPr>
        <w:jc w:val="center"/>
      </w:pPr>
      <w:r>
        <w:drawing>
          <wp:inline xmlns:a="http://schemas.openxmlformats.org/drawingml/2006/main" xmlns:pic="http://schemas.openxmlformats.org/drawingml/2006/picture">
            <wp:extent cx="5303520" cy="2193924"/>
            <wp:docPr id="1" name="Picture 1"/>
            <wp:cNvGraphicFramePr>
              <a:graphicFrameLocks noChangeAspect="1"/>
            </wp:cNvGraphicFramePr>
            <a:graphic>
              <a:graphicData uri="http://schemas.openxmlformats.org/drawingml/2006/picture">
                <pic:pic>
                  <pic:nvPicPr>
                    <pic:cNvPr id="0" name="VT-BM3D-architecture.png"/>
                    <pic:cNvPicPr/>
                  </pic:nvPicPr>
                  <pic:blipFill>
                    <a:blip r:embed="rId9"/>
                    <a:stretch>
                      <a:fillRect/>
                    </a:stretch>
                  </pic:blipFill>
                  <pic:spPr>
                    <a:xfrm>
                      <a:off x="0" y="0"/>
                      <a:ext cx="5303520" cy="2193924"/>
                    </a:xfrm>
                    <a:prstGeom prst="rect"/>
                  </pic:spPr>
                </pic:pic>
              </a:graphicData>
            </a:graphic>
          </wp:inline>
        </w:drawing>
      </w:r>
    </w:p>
    <w:p>
      <w:pPr>
        <w:spacing w:after="240"/>
        <w:jc w:val="center"/>
      </w:pPr>
      <w:r>
        <w:rPr>
          <w:rFonts w:ascii="宋体" w:hAnsi="宋体" w:eastAsia="宋体"/>
          <w:b w:val="0"/>
          <w:color w:val="000000"/>
          <w:sz w:val="21"/>
        </w:rPr>
        <w:t>图4-1 系统核心算法 VT-BM3D 结构感知协同滤波架构</w:t>
      </w:r>
    </w:p>
    <w:p>
      <w:pPr>
        <w:spacing w:line="360" w:lineRule="auto" w:before="240" w:after="120"/>
        <w:jc w:val="left"/>
      </w:pPr>
      <w:r>
        <w:rPr>
          <w:rFonts w:ascii="黑体" w:hAnsi="黑体" w:eastAsia="黑体"/>
          <w:b/>
          <w:color w:val="000000"/>
          <w:sz w:val="28"/>
        </w:rPr>
        <w:t>4.2 系统功能设计</w:t>
      </w:r>
    </w:p>
    <w:p>
      <w:pPr>
        <w:spacing w:line="360" w:lineRule="auto" w:after="120"/>
        <w:jc w:val="both"/>
      </w:pPr>
      <w:r>
        <w:rPr>
          <w:rFonts w:ascii="宋体" w:hAnsi="宋体" w:eastAsia="宋体"/>
          <w:b w:val="0"/>
          <w:color w:val="000000"/>
          <w:sz w:val="24"/>
        </w:rPr>
        <w:t>系统功能可分为七大模块：（1）用户认证模块：注册、登录、Token校验、密码重置；（2）影像输入模块：示例选择、文件上传、噪声模拟；（3）感知分析模块：噪声估计、结构张量、边缘密度、模态识别；（4）AI调参模块：LLM/规则规划、参数理由、历史案例参考；（5）去噪执行模块：VT-BM3D及高斯/中值/NLM/小波/DnCNN等工具；（6）质量评估模块：PSNR/SSIM/RMSE与无参考指标；（7）展示与对话模块：论文结果页、算法评测页、API监控页与智能对话。</w:t>
      </w:r>
    </w:p>
    <w:p>
      <w:pPr>
        <w:spacing w:line="360" w:lineRule="auto" w:before="240" w:after="120"/>
        <w:jc w:val="left"/>
      </w:pPr>
      <w:r>
        <w:rPr>
          <w:rFonts w:ascii="黑体" w:hAnsi="黑体" w:eastAsia="黑体"/>
          <w:b/>
          <w:color w:val="000000"/>
          <w:sz w:val="28"/>
        </w:rPr>
        <w:t>4.3 系统业务流程设计</w:t>
      </w:r>
    </w:p>
    <w:p>
      <w:pPr>
        <w:spacing w:line="360" w:lineRule="auto" w:after="120"/>
        <w:jc w:val="both"/>
      </w:pPr>
      <w:r>
        <w:rPr>
          <w:rFonts w:ascii="宋体" w:hAnsi="宋体" w:eastAsia="宋体"/>
          <w:b w:val="0"/>
          <w:color w:val="000000"/>
          <w:sz w:val="24"/>
        </w:rPr>
        <w:t>业务流程如下：用户登录后选择影像或上传文件，设置噪声模拟参数；前端向 `/api/process_stream` 发起SSE请求；后端依次完成感知分析、AI分析、AI调参、微调VT-BM3D、执行VT-BM3D、结果分析六个阶段；每个阶段通过SSE事件推送到前端展示；处理完成后结果被写入 `data/results_history.json` 供后续查询与对话引用。</w:t>
      </w:r>
    </w:p>
    <w:p>
      <w:pPr>
        <w:spacing w:line="360" w:lineRule="auto" w:before="240" w:after="120"/>
        <w:jc w:val="left"/>
      </w:pPr>
      <w:r>
        <w:rPr>
          <w:rFonts w:ascii="黑体" w:hAnsi="黑体" w:eastAsia="黑体"/>
          <w:b/>
          <w:color w:val="000000"/>
          <w:sz w:val="28"/>
        </w:rPr>
        <w:t>4.4 数据模型设计</w:t>
      </w:r>
    </w:p>
    <w:p>
      <w:pPr>
        <w:spacing w:line="360" w:lineRule="auto" w:after="120"/>
        <w:jc w:val="both"/>
      </w:pPr>
      <w:r>
        <w:rPr>
          <w:rFonts w:ascii="宋体" w:hAnsi="宋体" w:eastAsia="宋体"/>
          <w:b w:val="0"/>
          <w:color w:val="000000"/>
          <w:sz w:val="24"/>
        </w:rPr>
        <w:t>系统未采用关系型数据库，而是使用JSON文件进行轻量级持久化，便于部署与调试。主要数据实体包括：User（用户名、密码哈希、邮箱）、Token（Token字符串与用户名映射）、ResultRecord（来源、噪声等级、感知特征、调参方案、评估指标、是否LLM调参）、ApiUsage（调用时间、用途、模型、token数、费用、耗时）。各实体关系见表4-1。</w:t>
      </w:r>
    </w:p>
    <w:tbl>
      <w:tblPr>
        <w:tblStyle w:val="LightGrid-Accent1"/>
        <w:tblW w:type="auto" w:w="0"/>
        <w:tblLook w:firstColumn="1" w:firstRow="1" w:lastColumn="0" w:lastRow="0" w:noHBand="0" w:noVBand="1" w:val="04A0"/>
      </w:tblPr>
      <w:tblGrid>
        <w:gridCol w:w="2771"/>
        <w:gridCol w:w="2771"/>
        <w:gridCol w:w="2771"/>
      </w:tblGrid>
      <w:tr>
        <w:tc>
          <w:tcPr>
            <w:tcW w:type="dxa" w:w="2771"/>
          </w:tcPr>
          <w:p>
            <w:r>
              <w:t>实体</w:t>
            </w:r>
          </w:p>
        </w:tc>
        <w:tc>
          <w:tcPr>
            <w:tcW w:type="dxa" w:w="2771"/>
          </w:tcPr>
          <w:p>
            <w:r>
              <w:t>关键属性</w:t>
            </w:r>
          </w:p>
        </w:tc>
        <w:tc>
          <w:tcPr>
            <w:tcW w:type="dxa" w:w="2771"/>
          </w:tcPr>
          <w:p>
            <w:r>
              <w:t>关联</w:t>
            </w:r>
          </w:p>
        </w:tc>
      </w:tr>
      <w:tr>
        <w:tc>
          <w:tcPr>
            <w:tcW w:type="dxa" w:w="2771"/>
          </w:tcPr>
          <w:p>
            <w:r>
              <w:t>User</w:t>
            </w:r>
          </w:p>
        </w:tc>
        <w:tc>
          <w:tcPr>
            <w:tcW w:type="dxa" w:w="2771"/>
          </w:tcPr>
          <w:p>
            <w:r>
              <w:t>username, password_hash, email</w:t>
            </w:r>
          </w:p>
        </w:tc>
        <w:tc>
          <w:tcPr>
            <w:tcW w:type="dxa" w:w="2771"/>
          </w:tcPr>
          <w:p>
            <w:r>
              <w:t>1:N Token, 1:N ResultRecord</w:t>
            </w:r>
          </w:p>
        </w:tc>
      </w:tr>
      <w:tr>
        <w:tc>
          <w:tcPr>
            <w:tcW w:type="dxa" w:w="2771"/>
          </w:tcPr>
          <w:p>
            <w:r>
              <w:t>Token</w:t>
            </w:r>
          </w:p>
        </w:tc>
        <w:tc>
          <w:tcPr>
            <w:tcW w:type="dxa" w:w="2771"/>
          </w:tcPr>
          <w:p>
            <w:r>
              <w:t>token, username</w:t>
            </w:r>
          </w:p>
        </w:tc>
        <w:tc>
          <w:tcPr>
            <w:tcW w:type="dxa" w:w="2771"/>
          </w:tcPr>
          <w:p>
            <w:r>
              <w:t>N:1 User</w:t>
            </w:r>
          </w:p>
        </w:tc>
      </w:tr>
      <w:tr>
        <w:tc>
          <w:tcPr>
            <w:tcW w:type="dxa" w:w="2771"/>
          </w:tcPr>
          <w:p>
            <w:r>
              <w:t>ResultRecord</w:t>
            </w:r>
          </w:p>
        </w:tc>
        <w:tc>
          <w:tcPr>
            <w:tcW w:type="dxa" w:w="2771"/>
          </w:tcPr>
          <w:p>
            <w:r>
              <w:t>source, noise_sigma, perception, plan, evaluation, llm</w:t>
            </w:r>
          </w:p>
        </w:tc>
        <w:tc>
          <w:tcPr>
            <w:tcW w:type="dxa" w:w="2771"/>
          </w:tcPr>
          <w:p>
            <w:r>
              <w:t>N:1 User</w:t>
            </w:r>
          </w:p>
        </w:tc>
      </w:tr>
      <w:tr>
        <w:tc>
          <w:tcPr>
            <w:tcW w:type="dxa" w:w="2771"/>
          </w:tcPr>
          <w:p>
            <w:r>
              <w:t>ApiUsage</w:t>
            </w:r>
          </w:p>
        </w:tc>
        <w:tc>
          <w:tcPr>
            <w:tcW w:type="dxa" w:w="2771"/>
          </w:tcPr>
          <w:p>
            <w:r>
              <w:t>time, purpose, model, tokens, cost, latency</w:t>
            </w:r>
          </w:p>
        </w:tc>
        <w:tc>
          <w:tcPr>
            <w:tcW w:type="dxa" w:w="2771"/>
          </w:tcPr>
          <w:p>
            <w:r>
              <w:t>无</w:t>
            </w:r>
          </w:p>
        </w:tc>
      </w:tr>
      <w:tr>
        <w:tc>
          <w:tcPr>
            <w:tcW w:type="dxa" w:w="2771"/>
          </w:tcPr>
          <w:p>
            <w:r>
              <w:t>CaseMemory</w:t>
            </w:r>
          </w:p>
        </w:tc>
        <w:tc>
          <w:tcPr>
            <w:tcW w:type="dxa" w:w="2771"/>
          </w:tcPr>
          <w:p>
            <w:r>
              <w:t>image_hash, plan, evaluation, timestamp</w:t>
            </w:r>
          </w:p>
        </w:tc>
        <w:tc>
          <w:tcPr>
            <w:tcW w:type="dxa" w:w="2771"/>
          </w:tcPr>
          <w:p>
            <w:r>
              <w:t>无</w:t>
            </w:r>
          </w:p>
        </w:tc>
      </w:tr>
    </w:tbl>
    <w:p>
      <w:pPr>
        <w:jc w:val="center"/>
      </w:pPr>
      <w:r>
        <w:rPr>
          <w:rFonts w:ascii="宋体" w:hAnsi="宋体" w:eastAsia="宋体"/>
          <w:b w:val="0"/>
          <w:color w:val="000000"/>
          <w:sz w:val="21"/>
        </w:rPr>
        <w:t>表4-1 系统主要数据实体</w:t>
      </w:r>
    </w:p>
    <w:p>
      <w:r>
        <w:br w:type="page"/>
      </w:r>
    </w:p>
    <w:p>
      <w:pPr>
        <w:spacing w:line="360" w:lineRule="auto" w:before="360" w:after="240"/>
        <w:jc w:val="left"/>
      </w:pPr>
      <w:r>
        <w:rPr>
          <w:rFonts w:ascii="黑体" w:hAnsi="黑体" w:eastAsia="黑体"/>
          <w:b/>
          <w:color w:val="000000"/>
          <w:sz w:val="32"/>
        </w:rPr>
        <w:t>5 系统详细设计</w:t>
      </w:r>
    </w:p>
    <w:p>
      <w:pPr>
        <w:spacing w:line="360" w:lineRule="auto" w:before="240" w:after="120"/>
        <w:jc w:val="left"/>
      </w:pPr>
      <w:r>
        <w:rPr>
          <w:rFonts w:ascii="黑体" w:hAnsi="黑体" w:eastAsia="黑体"/>
          <w:b/>
          <w:color w:val="000000"/>
          <w:sz w:val="28"/>
        </w:rPr>
        <w:t>5.1 系统功能模块设计</w:t>
      </w:r>
    </w:p>
    <w:p>
      <w:pPr>
        <w:spacing w:line="360" w:lineRule="auto" w:before="120" w:after="60"/>
        <w:jc w:val="left"/>
      </w:pPr>
      <w:r>
        <w:rPr>
          <w:rFonts w:ascii="黑体" w:hAnsi="黑体" w:eastAsia="黑体"/>
          <w:b/>
          <w:color w:val="000000"/>
          <w:sz w:val="24"/>
        </w:rPr>
        <w:t>5.1.1 感知模块</w:t>
      </w:r>
    </w:p>
    <w:p>
      <w:pPr>
        <w:spacing w:line="360" w:lineRule="auto" w:after="120"/>
        <w:jc w:val="both"/>
      </w:pPr>
      <w:r>
        <w:rPr>
          <w:rFonts w:ascii="宋体" w:hAnsi="宋体" w:eastAsia="宋体"/>
          <w:b w:val="0"/>
          <w:color w:val="000000"/>
          <w:sz w:val="24"/>
        </w:rPr>
        <w:t>感知模块位于 `meddenoise/tools/analysis.py`，输入为归一化浮点影像，输出为噪声水平、边缘密度、纹理复杂度、方向一致性、动态范围与模态推测。噪声估计采用小波MAD方法；结构张量用于估计局部方向一致性；Canny边缘检测计算边缘密度。</w:t>
      </w:r>
    </w:p>
    <w:p>
      <w:pPr>
        <w:spacing w:line="360" w:lineRule="auto" w:before="120" w:after="60"/>
        <w:jc w:val="left"/>
      </w:pPr>
      <w:r>
        <w:rPr>
          <w:rFonts w:ascii="黑体" w:hAnsi="黑体" w:eastAsia="黑体"/>
          <w:b/>
          <w:color w:val="000000"/>
          <w:sz w:val="24"/>
        </w:rPr>
        <w:t>5.1.2 决策模块</w:t>
      </w:r>
    </w:p>
    <w:p>
      <w:pPr>
        <w:spacing w:line="360" w:lineRule="auto" w:after="120"/>
        <w:jc w:val="both"/>
      </w:pPr>
      <w:r>
        <w:rPr>
          <w:rFonts w:ascii="宋体" w:hAnsi="宋体" w:eastAsia="宋体"/>
          <w:b w:val="0"/>
          <w:color w:val="000000"/>
          <w:sz w:val="24"/>
        </w:rPr>
        <w:t>决策模块位于 `meddenoise/agent/planner.py` 与 `ai_pipeline.py`，支持LLM规划与规则规划两种模式。LLM模式通过System Prompt注入VT-BM3D论文知识与历史案例，要求模型输出JSON格式的调参方案；规则模式根据模态与噪声等级直接选择参数，保证离线可用。</w:t>
      </w:r>
    </w:p>
    <w:p>
      <w:pPr>
        <w:spacing w:line="360" w:lineRule="auto" w:before="120" w:after="60"/>
        <w:jc w:val="left"/>
      </w:pPr>
      <w:r>
        <w:rPr>
          <w:rFonts w:ascii="黑体" w:hAnsi="黑体" w:eastAsia="黑体"/>
          <w:b/>
          <w:color w:val="000000"/>
          <w:sz w:val="24"/>
        </w:rPr>
        <w:t>5.1.3 执行模块</w:t>
      </w:r>
    </w:p>
    <w:p>
      <w:pPr>
        <w:spacing w:line="360" w:lineRule="auto" w:after="120"/>
        <w:jc w:val="both"/>
      </w:pPr>
      <w:r>
        <w:rPr>
          <w:rFonts w:ascii="宋体" w:hAnsi="宋体" w:eastAsia="宋体"/>
          <w:b w:val="0"/>
          <w:color w:val="000000"/>
          <w:sz w:val="24"/>
        </w:rPr>
        <w:t>执行模块位于 `meddenoise/tools/registry.py` 与 `denoise.py`。ToolExecutor维护original、current、denoised等状态，按plan依次调用去噪与增强工具。</w:t>
      </w:r>
    </w:p>
    <w:p>
      <w:pPr>
        <w:spacing w:line="360" w:lineRule="auto" w:before="120" w:after="60"/>
        <w:jc w:val="left"/>
      </w:pPr>
      <w:r>
        <w:rPr>
          <w:rFonts w:ascii="黑体" w:hAnsi="黑体" w:eastAsia="黑体"/>
          <w:b/>
          <w:color w:val="000000"/>
          <w:sz w:val="24"/>
        </w:rPr>
        <w:t>5.1.4 评估模块</w:t>
      </w:r>
    </w:p>
    <w:p>
      <w:pPr>
        <w:spacing w:line="360" w:lineRule="auto" w:after="120"/>
        <w:jc w:val="both"/>
      </w:pPr>
      <w:r>
        <w:rPr>
          <w:rFonts w:ascii="宋体" w:hAnsi="宋体" w:eastAsia="宋体"/>
          <w:b w:val="0"/>
          <w:color w:val="000000"/>
          <w:sz w:val="24"/>
        </w:rPr>
        <w:t>评估模块位于 `meddenoise/tools/metrics.py`，在有参考图时计算PSNR、SSIM、RMSE；同时计算清晰度（拉普拉斯方差）、梯度能量与熵等无参考指标，用于综合评估去噪质量。</w:t>
      </w:r>
    </w:p>
    <w:p>
      <w:pPr>
        <w:spacing w:line="360" w:lineRule="auto" w:before="120" w:after="60"/>
        <w:jc w:val="left"/>
      </w:pPr>
      <w:r>
        <w:rPr>
          <w:rFonts w:ascii="黑体" w:hAnsi="黑体" w:eastAsia="黑体"/>
          <w:b/>
          <w:color w:val="000000"/>
          <w:sz w:val="24"/>
        </w:rPr>
        <w:t>5.1.5 协调模块</w:t>
      </w:r>
    </w:p>
    <w:p>
      <w:pPr>
        <w:spacing w:line="360" w:lineRule="auto" w:after="120"/>
        <w:jc w:val="both"/>
      </w:pPr>
      <w:r>
        <w:rPr>
          <w:rFonts w:ascii="宋体" w:hAnsi="宋体" w:eastAsia="宋体"/>
          <w:b w:val="0"/>
          <w:color w:val="000000"/>
          <w:sz w:val="24"/>
        </w:rPr>
        <w:t>协调模块 `Coordinator.process` 负责多轮迭代：感知→决策→执行→评估；若评估未达标且未达最大迭代次数，则触发反思重规划，从原始噪声图重新处理。</w:t>
      </w:r>
    </w:p>
    <w:p>
      <w:pPr>
        <w:spacing w:line="360" w:lineRule="auto" w:before="240" w:after="120"/>
        <w:jc w:val="left"/>
      </w:pPr>
      <w:r>
        <w:rPr>
          <w:rFonts w:ascii="黑体" w:hAnsi="黑体" w:eastAsia="黑体"/>
          <w:b/>
          <w:color w:val="000000"/>
          <w:sz w:val="28"/>
        </w:rPr>
        <w:t>5.2 数据存储设计</w:t>
      </w:r>
    </w:p>
    <w:p>
      <w:pPr>
        <w:spacing w:line="360" w:lineRule="auto" w:after="120"/>
        <w:jc w:val="both"/>
      </w:pPr>
      <w:r>
        <w:rPr>
          <w:rFonts w:ascii="宋体" w:hAnsi="宋体" w:eastAsia="宋体"/>
          <w:b w:val="0"/>
          <w:color w:val="000000"/>
          <w:sz w:val="24"/>
        </w:rPr>
        <w:t>系统使用JSON文件存储于 `data/` 目录：`users.json` 存储用户信息；tokens.json` 存储登录态；`results_history.json` 存储处理记录；`api_usage.json` 存储API调用日志。</w:t>
      </w:r>
    </w:p>
    <w:tbl>
      <w:tblPr>
        <w:tblStyle w:val="LightGrid-Accent1"/>
        <w:tblW w:type="auto" w:w="0"/>
        <w:tblLook w:firstColumn="1" w:firstRow="1" w:lastColumn="0" w:lastRow="0" w:noHBand="0" w:noVBand="1" w:val="04A0"/>
      </w:tblPr>
      <w:tblGrid>
        <w:gridCol w:w="2771"/>
        <w:gridCol w:w="2771"/>
        <w:gridCol w:w="2771"/>
      </w:tblGrid>
      <w:tr>
        <w:tc>
          <w:tcPr>
            <w:tcW w:type="dxa" w:w="2771"/>
          </w:tcPr>
          <w:p>
            <w:r>
              <w:t>文件</w:t>
            </w:r>
          </w:p>
        </w:tc>
        <w:tc>
          <w:tcPr>
            <w:tcW w:type="dxa" w:w="2771"/>
          </w:tcPr>
          <w:p>
            <w:r>
              <w:t>用途</w:t>
            </w:r>
          </w:p>
        </w:tc>
        <w:tc>
          <w:tcPr>
            <w:tcW w:type="dxa" w:w="2771"/>
          </w:tcPr>
          <w:p>
            <w:r>
              <w:t>关键字段</w:t>
            </w:r>
          </w:p>
        </w:tc>
      </w:tr>
      <w:tr>
        <w:tc>
          <w:tcPr>
            <w:tcW w:type="dxa" w:w="2771"/>
          </w:tcPr>
          <w:p>
            <w:r>
              <w:t>users.json</w:t>
            </w:r>
          </w:p>
        </w:tc>
        <w:tc>
          <w:tcPr>
            <w:tcW w:type="dxa" w:w="2771"/>
          </w:tcPr>
          <w:p>
            <w:r>
              <w:t>用户账户</w:t>
            </w:r>
          </w:p>
        </w:tc>
        <w:tc>
          <w:tcPr>
            <w:tcW w:type="dxa" w:w="2771"/>
          </w:tcPr>
          <w:p>
            <w:r>
              <w:t>username, password_hash, email</w:t>
            </w:r>
          </w:p>
        </w:tc>
      </w:tr>
      <w:tr>
        <w:tc>
          <w:tcPr>
            <w:tcW w:type="dxa" w:w="2771"/>
          </w:tcPr>
          <w:p>
            <w:r>
              <w:t>tokens.json</w:t>
            </w:r>
          </w:p>
        </w:tc>
        <w:tc>
          <w:tcPr>
            <w:tcW w:type="dxa" w:w="2771"/>
          </w:tcPr>
          <w:p>
            <w:r>
              <w:t>登录Token</w:t>
            </w:r>
          </w:p>
        </w:tc>
        <w:tc>
          <w:tcPr>
            <w:tcW w:type="dxa" w:w="2771"/>
          </w:tcPr>
          <w:p>
            <w:r>
              <w:t>token, username</w:t>
            </w:r>
          </w:p>
        </w:tc>
      </w:tr>
      <w:tr>
        <w:tc>
          <w:tcPr>
            <w:tcW w:type="dxa" w:w="2771"/>
          </w:tcPr>
          <w:p>
            <w:r>
              <w:t>results_history.json</w:t>
            </w:r>
          </w:p>
        </w:tc>
        <w:tc>
          <w:tcPr>
            <w:tcW w:type="dxa" w:w="2771"/>
          </w:tcPr>
          <w:p>
            <w:r>
              <w:t>处理历史</w:t>
            </w:r>
          </w:p>
        </w:tc>
        <w:tc>
          <w:tcPr>
            <w:tcW w:type="dxa" w:w="2771"/>
          </w:tcPr>
          <w:p>
            <w:r>
              <w:t>source, noise_sigma, perception, plan, evaluation, llm</w:t>
            </w:r>
          </w:p>
        </w:tc>
      </w:tr>
      <w:tr>
        <w:tc>
          <w:tcPr>
            <w:tcW w:type="dxa" w:w="2771"/>
          </w:tcPr>
          <w:p>
            <w:r>
              <w:t>api_usage.json</w:t>
            </w:r>
          </w:p>
        </w:tc>
        <w:tc>
          <w:tcPr>
            <w:tcW w:type="dxa" w:w="2771"/>
          </w:tcPr>
          <w:p>
            <w:r>
              <w:t>API统计</w:t>
            </w:r>
          </w:p>
        </w:tc>
        <w:tc>
          <w:tcPr>
            <w:tcW w:type="dxa" w:w="2771"/>
          </w:tcPr>
          <w:p>
            <w:r>
              <w:t>time, purpose, model, tokens, cost, latency</w:t>
            </w:r>
          </w:p>
        </w:tc>
      </w:tr>
    </w:tbl>
    <w:p>
      <w:pPr>
        <w:jc w:val="center"/>
      </w:pPr>
      <w:r>
        <w:rPr>
          <w:rFonts w:ascii="宋体" w:hAnsi="宋体" w:eastAsia="宋体"/>
          <w:b w:val="0"/>
          <w:color w:val="000000"/>
          <w:sz w:val="21"/>
        </w:rPr>
        <w:t>表5-1 系统数据文件说明</w:t>
      </w:r>
    </w:p>
    <w:p>
      <w:r>
        <w:br w:type="page"/>
      </w:r>
    </w:p>
    <w:p>
      <w:pPr>
        <w:spacing w:line="360" w:lineRule="auto" w:before="360" w:after="240"/>
        <w:jc w:val="left"/>
      </w:pPr>
      <w:r>
        <w:rPr>
          <w:rFonts w:ascii="黑体" w:hAnsi="黑体" w:eastAsia="黑体"/>
          <w:b/>
          <w:color w:val="000000"/>
          <w:sz w:val="32"/>
        </w:rPr>
        <w:t>6 系统实现</w:t>
      </w:r>
    </w:p>
    <w:p>
      <w:pPr>
        <w:spacing w:line="360" w:lineRule="auto" w:after="120"/>
        <w:jc w:val="both"/>
      </w:pPr>
      <w:r>
        <w:rPr>
          <w:rFonts w:ascii="宋体" w:hAnsi="宋体" w:eastAsia="宋体"/>
          <w:b w:val="0"/>
          <w:color w:val="000000"/>
          <w:sz w:val="24"/>
        </w:rPr>
        <w:t>本章展示系统主要功能模块的运行效果，并给出2-3处核心代码。</w:t>
      </w:r>
    </w:p>
    <w:p>
      <w:pPr>
        <w:spacing w:line="360" w:lineRule="auto" w:before="240" w:after="120"/>
        <w:jc w:val="left"/>
      </w:pPr>
      <w:r>
        <w:rPr>
          <w:rFonts w:ascii="黑体" w:hAnsi="黑体" w:eastAsia="黑体"/>
          <w:b/>
          <w:color w:val="000000"/>
          <w:sz w:val="28"/>
        </w:rPr>
        <w:t>6.1 用户认证</w:t>
      </w:r>
    </w:p>
    <w:p>
      <w:pPr>
        <w:spacing w:line="360" w:lineRule="auto" w:after="120"/>
        <w:jc w:val="both"/>
      </w:pPr>
      <w:r>
        <w:rPr>
          <w:rFonts w:ascii="宋体" w:hAnsi="宋体" w:eastAsia="宋体"/>
          <w:b w:val="0"/>
          <w:color w:val="000000"/>
          <w:sz w:val="24"/>
        </w:rPr>
        <w:t>系统登录页支持账号/密码登录、邮箱注册与邮箱验证码重置密码。管理员账号 `admin / 123456` 默认存在，Token通过localStorage `mda_token` 保存。</w:t>
      </w:r>
    </w:p>
    <w:p>
      <w:pPr>
        <w:jc w:val="center"/>
      </w:pPr>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ss_65d7adbd.png"/>
                    <pic:cNvPicPr/>
                  </pic:nvPicPr>
                  <pic:blipFill>
                    <a:blip r:embed="rId10"/>
                    <a:stretch>
                      <a:fillRect/>
                    </a:stretch>
                  </pic:blipFill>
                  <pic:spPr>
                    <a:xfrm>
                      <a:off x="0" y="0"/>
                      <a:ext cx="5303520" cy="3977640"/>
                    </a:xfrm>
                    <a:prstGeom prst="rect"/>
                  </pic:spPr>
                </pic:pic>
              </a:graphicData>
            </a:graphic>
          </wp:inline>
        </w:drawing>
      </w:r>
    </w:p>
    <w:p>
      <w:pPr>
        <w:spacing w:after="240"/>
        <w:jc w:val="center"/>
      </w:pPr>
      <w:r>
        <w:rPr>
          <w:rFonts w:ascii="宋体" w:hAnsi="宋体" w:eastAsia="宋体"/>
          <w:b w:val="0"/>
          <w:color w:val="000000"/>
          <w:sz w:val="21"/>
        </w:rPr>
        <w:t>图6-1 系统登录页</w:t>
      </w:r>
    </w:p>
    <w:p>
      <w:pPr>
        <w:jc w:val="center"/>
      </w:pPr>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ss_6484ba47.png"/>
                    <pic:cNvPicPr/>
                  </pic:nvPicPr>
                  <pic:blipFill>
                    <a:blip r:embed="rId11"/>
                    <a:stretch>
                      <a:fillRect/>
                    </a:stretch>
                  </pic:blipFill>
                  <pic:spPr>
                    <a:xfrm>
                      <a:off x="0" y="0"/>
                      <a:ext cx="5303520" cy="3977640"/>
                    </a:xfrm>
                    <a:prstGeom prst="rect"/>
                  </pic:spPr>
                </pic:pic>
              </a:graphicData>
            </a:graphic>
          </wp:inline>
        </w:drawing>
      </w:r>
    </w:p>
    <w:p>
      <w:pPr>
        <w:spacing w:after="240"/>
        <w:jc w:val="center"/>
      </w:pPr>
      <w:r>
        <w:rPr>
          <w:rFonts w:ascii="宋体" w:hAnsi="宋体" w:eastAsia="宋体"/>
          <w:b w:val="0"/>
          <w:color w:val="000000"/>
          <w:sz w:val="21"/>
        </w:rPr>
        <w:t>图6-2 用户注册页</w:t>
      </w:r>
    </w:p>
    <w:p>
      <w:pPr>
        <w:jc w:val="center"/>
      </w:pPr>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ss_7a55d6a7.png"/>
                    <pic:cNvPicPr/>
                  </pic:nvPicPr>
                  <pic:blipFill>
                    <a:blip r:embed="rId12"/>
                    <a:stretch>
                      <a:fillRect/>
                    </a:stretch>
                  </pic:blipFill>
                  <pic:spPr>
                    <a:xfrm>
                      <a:off x="0" y="0"/>
                      <a:ext cx="5303520" cy="3977640"/>
                    </a:xfrm>
                    <a:prstGeom prst="rect"/>
                  </pic:spPr>
                </pic:pic>
              </a:graphicData>
            </a:graphic>
          </wp:inline>
        </w:drawing>
      </w:r>
    </w:p>
    <w:p>
      <w:pPr>
        <w:spacing w:after="240"/>
        <w:jc w:val="center"/>
      </w:pPr>
      <w:r>
        <w:rPr>
          <w:rFonts w:ascii="宋体" w:hAnsi="宋体" w:eastAsia="宋体"/>
          <w:b w:val="0"/>
          <w:color w:val="000000"/>
          <w:sz w:val="21"/>
        </w:rPr>
        <w:t>图6-3 重置密码页</w:t>
      </w:r>
    </w:p>
    <w:p>
      <w:pPr>
        <w:spacing w:line="360" w:lineRule="auto" w:before="120" w:after="60"/>
        <w:jc w:val="left"/>
      </w:pPr>
      <w:r>
        <w:rPr>
          <w:rFonts w:ascii="黑体" w:hAnsi="黑体" w:eastAsia="黑体"/>
          <w:b/>
          <w:color w:val="000000"/>
          <w:sz w:val="24"/>
        </w:rPr>
        <w:t>6.1.1 用户认证实现</w:t>
      </w:r>
    </w:p>
    <w:p>
      <w:pPr>
        <w:spacing w:line="360" w:lineRule="auto" w:after="120"/>
        <w:jc w:val="both"/>
      </w:pPr>
      <w:r>
        <w:rPr>
          <w:rFonts w:ascii="宋体" w:hAnsi="宋体" w:eastAsia="宋体"/>
          <w:b w:val="0"/>
          <w:color w:val="000000"/>
          <w:sz w:val="24"/>
        </w:rPr>
        <w:t>后端 `server.py` 使用 SHA-256 对密码哈希后写入 `users.json`；登录成功后生成随机Token返回前端。关键代码如下：</w:t>
      </w:r>
    </w:p>
    <w:p>
      <w:pPr>
        <w:spacing w:line="240" w:lineRule="auto"/>
        <w:ind w:left="425"/>
        <w:jc w:val="left"/>
      </w:pPr>
      <w:r>
        <w:rPr>
          <w:rFonts w:ascii="Consolas" w:hAnsi="Consolas" w:eastAsia="Consolas"/>
          <w:b w:val="0"/>
          <w:color w:val="000000"/>
          <w:sz w:val="18"/>
        </w:rPr>
        <w:t>def _hash(pwd: str) -&gt; str:</w:t>
        <w:br/>
        <w:t xml:space="preserve">    return hashlib.sha256(pwd.encode("utf-8")).hexdigest()</w:t>
        <w:br/>
        <w:br/>
        <w:t>@app.post("/api/login")</w:t>
        <w:br/>
        <w:t>def login(username: str = Form(...), password: str = Form(...)):</w:t>
        <w:br/>
        <w:t xml:space="preserve">    _load_auth()</w:t>
        <w:br/>
        <w:t xml:space="preserve">    entry = users.get(username)</w:t>
        <w:br/>
        <w:t xml:space="preserve">    if not entry or _user_hash(entry) != _hash(password):</w:t>
        <w:br/>
        <w:t xml:space="preserve">        raise HTTPException(401, "用户名或密码错误")</w:t>
        <w:br/>
        <w:t xml:space="preserve">    token = secrets.token_urlsafe(32)</w:t>
        <w:br/>
        <w:t xml:space="preserve">    tokens[token] = username</w:t>
        <w:br/>
        <w:t xml:space="preserve">    _save_tokens()</w:t>
        <w:br/>
        <w:t xml:space="preserve">    return {"ok": True, "token": token, "username": username}</w:t>
      </w:r>
    </w:p>
    <w:p>
      <w:pPr>
        <w:spacing w:line="360" w:lineRule="auto" w:before="240" w:after="120"/>
        <w:jc w:val="left"/>
      </w:pPr>
      <w:r>
        <w:rPr>
          <w:rFonts w:ascii="黑体" w:hAnsi="黑体" w:eastAsia="黑体"/>
          <w:b/>
          <w:color w:val="000000"/>
          <w:sz w:val="28"/>
        </w:rPr>
        <w:t>6.2 智能去噪处理</w:t>
      </w:r>
    </w:p>
    <w:p>
      <w:pPr>
        <w:spacing w:line="360" w:lineRule="auto" w:after="120"/>
        <w:jc w:val="both"/>
      </w:pPr>
      <w:r>
        <w:rPr>
          <w:rFonts w:ascii="宋体" w:hAnsi="宋体" w:eastAsia="宋体"/>
          <w:b w:val="0"/>
          <w:color w:val="000000"/>
          <w:sz w:val="24"/>
        </w:rPr>
        <w:t>智能处理页包括输入配置、感知分析、六步处理流水线与结果展示。用户可选择医学影像示例或上传图片，设置高斯噪声模拟强度，然后执行标准处理或AI智能处理。图6-4 为脑部切片标准处理结果（PSNR 29.97 dB，SSIM 0.454）。</w:t>
      </w:r>
    </w:p>
    <w:p>
      <w:pPr>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ss_cfb451b9.png"/>
                    <pic:cNvPicPr/>
                  </pic:nvPicPr>
                  <pic:blipFill>
                    <a:blip r:embed="rId13"/>
                    <a:stretch>
                      <a:fillRect/>
                    </a:stretch>
                  </pic:blipFill>
                  <pic:spPr>
                    <a:xfrm>
                      <a:off x="0" y="0"/>
                      <a:ext cx="5303520" cy="3977640"/>
                    </a:xfrm>
                    <a:prstGeom prst="rect"/>
                  </pic:spPr>
                </pic:pic>
              </a:graphicData>
            </a:graphic>
          </wp:inline>
        </w:drawing>
      </w:r>
    </w:p>
    <w:p>
      <w:pPr>
        <w:spacing w:after="240"/>
        <w:jc w:val="center"/>
      </w:pPr>
      <w:r>
        <w:rPr>
          <w:rFonts w:ascii="宋体" w:hAnsi="宋体" w:eastAsia="宋体"/>
          <w:b w:val="0"/>
          <w:color w:val="000000"/>
          <w:sz w:val="21"/>
        </w:rPr>
        <w:t>图6-4 智能去噪处理结果页</w:t>
      </w:r>
    </w:p>
    <w:p>
      <w:pPr>
        <w:spacing w:line="360" w:lineRule="auto" w:before="120" w:after="60"/>
        <w:jc w:val="left"/>
      </w:pPr>
      <w:r>
        <w:rPr>
          <w:rFonts w:ascii="黑体" w:hAnsi="黑体" w:eastAsia="黑体"/>
          <w:b/>
          <w:color w:val="000000"/>
          <w:sz w:val="24"/>
        </w:rPr>
        <w:t>6.2.1 VT-BM3D核心实现</w:t>
      </w:r>
    </w:p>
    <w:p>
      <w:pPr>
        <w:spacing w:line="360" w:lineRule="auto" w:after="120"/>
        <w:jc w:val="both"/>
      </w:pPr>
      <w:r>
        <w:rPr>
          <w:rFonts w:ascii="宋体" w:hAnsi="宋体" w:eastAsia="宋体"/>
          <w:b w:val="0"/>
          <w:color w:val="000000"/>
          <w:sz w:val="24"/>
        </w:rPr>
        <w:t>VT-BM3D在 `meddenoise/tools/denoise.py` 中实现，以局部方差与结构张量相干性构建显著性图，对平坦区采用强BM3D、对边缘/纹理区采用弱BM3D，并按显著性逐像素融合。</w:t>
      </w:r>
    </w:p>
    <w:p>
      <w:pPr>
        <w:spacing w:line="240" w:lineRule="auto"/>
        <w:ind w:left="425"/>
        <w:jc w:val="left"/>
      </w:pPr>
      <w:r>
        <w:rPr>
          <w:rFonts w:ascii="Consolas" w:hAnsi="Consolas" w:eastAsia="Consolas"/>
          <w:b w:val="0"/>
          <w:color w:val="000000"/>
          <w:sz w:val="18"/>
        </w:rPr>
        <w:t>def vt_bm3d_denoise(image: np.ndarray, sigma: float = 15.0,</w:t>
        <w:br/>
        <w:t xml:space="preserve">                    alpha: float = 0.4, beta_tensor: float = 0.6,</w:t>
        <w:br/>
        <w:t xml:space="preserve">                    texture_boost: float = 1.4) -&gt; np.ndarray:</w:t>
        <w:br/>
        <w:t xml:space="preserve">    local_var = ndimage.uniform_filter(image ** 2, 7) - ndimage.uniform_filter(image, 7) ** 2</w:t>
        <w:br/>
        <w:t xml:space="preserve">    var_map = local_var / (local_var.max() + 1e-12)</w:t>
        <w:br/>
        <w:t xml:space="preserve">    Axx, Axy, Ayy = structure_tensor(image, sigma=1.5)</w:t>
        <w:br/>
        <w:t xml:space="preserve">    l1, l2 = structure_tensor_eigenvalues([Axx, Axy, Ayy])</w:t>
        <w:br/>
        <w:t xml:space="preserve">    coherence = np.where(l1 + l2 &gt; 1e-12,</w:t>
        <w:br/>
        <w:t xml:space="preserve">                         ((l1 - l2) / (l1 + l2 + 1e-12)) ** 2, 0.0)</w:t>
        <w:br/>
        <w:t xml:space="preserve">    saliency = alpha * var_map + beta_tensor * coherence</w:t>
        <w:br/>
        <w:t xml:space="preserve">    saliency = ndimage.gaussian_filter(saliency, 2.0)</w:t>
        <w:br/>
        <w:t xml:space="preserve">    saliency = saliency / (saliency.max() + 1e-12)</w:t>
        <w:br/>
        <w:t xml:space="preserve">    strong = bm3d_denoise(image, sigma * 1.15)</w:t>
        <w:br/>
        <w:t xml:space="preserve">    weak = bm3d_denoise(image, sigma / texture_boost)</w:t>
        <w:br/>
        <w:t xml:space="preserve">    fused = (1.0 - saliency) * strong + saliency * weak</w:t>
        <w:br/>
        <w:t xml:space="preserve">    return np.clip(fused, 0, 1)</w:t>
      </w:r>
    </w:p>
    <w:p>
      <w:pPr>
        <w:spacing w:line="360" w:lineRule="auto" w:before="120" w:after="60"/>
        <w:jc w:val="left"/>
      </w:pPr>
      <w:r>
        <w:rPr>
          <w:rFonts w:ascii="黑体" w:hAnsi="黑体" w:eastAsia="黑体"/>
          <w:b/>
          <w:color w:val="000000"/>
          <w:sz w:val="24"/>
        </w:rPr>
        <w:t>6.2.2 Agent调参流水线</w:t>
      </w:r>
    </w:p>
    <w:p>
      <w:pPr>
        <w:spacing w:line="360" w:lineRule="auto" w:after="120"/>
        <w:jc w:val="both"/>
      </w:pPr>
      <w:r>
        <w:rPr>
          <w:rFonts w:ascii="宋体" w:hAnsi="宋体" w:eastAsia="宋体"/>
          <w:b w:val="0"/>
          <w:color w:val="000000"/>
          <w:sz w:val="24"/>
        </w:rPr>
        <w:t>AI调参流水线 `ai_pipeline.py` 通过SSE分六个阶段输出事件，最新优化后省略了一次单独 LLM 微调调用并关闭反思重试，在保持AI真实调参能力的同时缩短处理时间。</w:t>
      </w:r>
    </w:p>
    <w:p>
      <w:pPr>
        <w:spacing w:line="240" w:lineRule="auto"/>
        <w:ind w:left="425"/>
        <w:jc w:val="left"/>
      </w:pPr>
      <w:r>
        <w:rPr>
          <w:rFonts w:ascii="Consolas" w:hAnsi="Consolas" w:eastAsia="Consolas"/>
          <w:b w:val="0"/>
          <w:color w:val="000000"/>
          <w:sz w:val="18"/>
        </w:rPr>
        <w:t># 阶段: AI分析意见与处理思路</w:t>
        <w:br/>
        <w:t>reply = llm.llm_chat(system, [{"role": "user", "content": desc}],</w:t>
        <w:br/>
        <w:t xml:space="preserve">                     max_tokens=1200, purpose="AI分析与调参")</w:t>
        <w:br/>
        <w:t>plan = llm.extract_json(reply) or _fallback_plan(perception)</w:t>
        <w:br/>
        <w:t># 阶段: 微调 VT-BM3D</w:t>
        <w:br/>
        <w:t>plan = _sanitize(plan, perception["estimated_sigma"])</w:t>
        <w:br/>
        <w:t># 阶段: 执行VT-BM3D</w:t>
        <w:br/>
        <w:t>output, denoised, ev = _execute(noisy, reference, plan)</w:t>
        <w:br/>
        <w:t># 阶段: 处理结果分析（简短反思）</w:t>
        <w:br/>
        <w:t>reply = llm.llm_chat(REFLECT_SYSTEM, [...], max_tokens=300,</w:t>
        <w:br/>
        <w:t xml:space="preserve">                     purpose="结果分析与反思")</w:t>
      </w:r>
    </w:p>
    <w:p>
      <w:pPr>
        <w:spacing w:line="360" w:lineRule="auto" w:before="240" w:after="120"/>
        <w:jc w:val="left"/>
      </w:pPr>
      <w:r>
        <w:rPr>
          <w:rFonts w:ascii="黑体" w:hAnsi="黑体" w:eastAsia="黑体"/>
          <w:b/>
          <w:color w:val="000000"/>
          <w:sz w:val="28"/>
        </w:rPr>
        <w:t>6.3 智能对话助手</w:t>
      </w:r>
    </w:p>
    <w:p>
      <w:pPr>
        <w:spacing w:line="360" w:lineRule="auto" w:after="120"/>
        <w:jc w:val="both"/>
      </w:pPr>
      <w:r>
        <w:rPr>
          <w:rFonts w:ascii="宋体" w:hAnsi="宋体" w:eastAsia="宋体"/>
          <w:b w:val="0"/>
          <w:color w:val="000000"/>
          <w:sz w:val="24"/>
        </w:rPr>
        <w:t>智能对话页提供全屏对话界面，用户可以询问VT-BM3D论文、参数含义、历史处理记录等；右侧展示最近处理记录，方便用户快速引用。</w:t>
      </w:r>
    </w:p>
    <w:p>
      <w:pPr>
        <w:jc w:val="center"/>
      </w:pPr>
      <w:r>
        <w:drawing>
          <wp:inline xmlns:a="http://schemas.openxmlformats.org/drawingml/2006/main" xmlns:pic="http://schemas.openxmlformats.org/drawingml/2006/picture">
            <wp:extent cx="5303520" cy="3977640"/>
            <wp:docPr id="6" name="Picture 6"/>
            <wp:cNvGraphicFramePr>
              <a:graphicFrameLocks noChangeAspect="1"/>
            </wp:cNvGraphicFramePr>
            <a:graphic>
              <a:graphicData uri="http://schemas.openxmlformats.org/drawingml/2006/picture">
                <pic:pic>
                  <pic:nvPicPr>
                    <pic:cNvPr id="0" name="ss_7d027396.png"/>
                    <pic:cNvPicPr/>
                  </pic:nvPicPr>
                  <pic:blipFill>
                    <a:blip r:embed="rId14"/>
                    <a:stretch>
                      <a:fillRect/>
                    </a:stretch>
                  </pic:blipFill>
                  <pic:spPr>
                    <a:xfrm>
                      <a:off x="0" y="0"/>
                      <a:ext cx="5303520" cy="3977640"/>
                    </a:xfrm>
                    <a:prstGeom prst="rect"/>
                  </pic:spPr>
                </pic:pic>
              </a:graphicData>
            </a:graphic>
          </wp:inline>
        </w:drawing>
      </w:r>
    </w:p>
    <w:p>
      <w:pPr>
        <w:spacing w:after="240"/>
        <w:jc w:val="center"/>
      </w:pPr>
      <w:r>
        <w:rPr>
          <w:rFonts w:ascii="宋体" w:hAnsi="宋体" w:eastAsia="宋体"/>
          <w:b w:val="0"/>
          <w:color w:val="000000"/>
          <w:sz w:val="21"/>
        </w:rPr>
        <w:t>图6-5 智能对话助手</w:t>
      </w:r>
    </w:p>
    <w:p>
      <w:pPr>
        <w:spacing w:line="360" w:lineRule="auto" w:before="120" w:after="60"/>
        <w:jc w:val="left"/>
      </w:pPr>
      <w:r>
        <w:rPr>
          <w:rFonts w:ascii="黑体" w:hAnsi="黑体" w:eastAsia="黑体"/>
          <w:b/>
          <w:color w:val="000000"/>
          <w:sz w:val="24"/>
        </w:rPr>
        <w:t>6.3.1 对话实现</w:t>
      </w:r>
    </w:p>
    <w:p>
      <w:pPr>
        <w:spacing w:line="360" w:lineRule="auto" w:after="120"/>
        <w:jc w:val="both"/>
      </w:pPr>
      <w:r>
        <w:rPr>
          <w:rFonts w:ascii="宋体" w:hAnsi="宋体" w:eastAsia="宋体"/>
          <w:b w:val="0"/>
          <w:color w:val="000000"/>
          <w:sz w:val="24"/>
        </w:rPr>
        <w:t>后端 `ChatAgent` 根据用户意图调用工具或进行论文知识问答，结果通过 `/api/chat` 返回。</w:t>
      </w:r>
    </w:p>
    <w:p>
      <w:pPr>
        <w:spacing w:line="360" w:lineRule="auto" w:before="240" w:after="120"/>
        <w:jc w:val="left"/>
      </w:pPr>
      <w:r>
        <w:rPr>
          <w:rFonts w:ascii="黑体" w:hAnsi="黑体" w:eastAsia="黑体"/>
          <w:b/>
          <w:color w:val="000000"/>
          <w:sz w:val="28"/>
        </w:rPr>
        <w:t>6.4 论文结果与API监控</w:t>
      </w:r>
    </w:p>
    <w:p>
      <w:pPr>
        <w:spacing w:line="360" w:lineRule="auto" w:after="120"/>
        <w:jc w:val="both"/>
      </w:pPr>
      <w:r>
        <w:rPr>
          <w:rFonts w:ascii="宋体" w:hAnsi="宋体" w:eastAsia="宋体"/>
          <w:b w:val="0"/>
          <w:color w:val="000000"/>
          <w:sz w:val="24"/>
        </w:rPr>
        <w:t>论文结果页复现了VT-BM3D论文实验数据；算法评测页展示主架构图与创新点；API监控页展示今日Token消耗、调用次数、费用、模型配置与最近调用记录。</w:t>
      </w:r>
    </w:p>
    <w:p>
      <w:pPr>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ss_fa79d68d.png"/>
                    <pic:cNvPicPr/>
                  </pic:nvPicPr>
                  <pic:blipFill>
                    <a:blip r:embed="rId15"/>
                    <a:stretch>
                      <a:fillRect/>
                    </a:stretch>
                  </pic:blipFill>
                  <pic:spPr>
                    <a:xfrm>
                      <a:off x="0" y="0"/>
                      <a:ext cx="5303520" cy="3977640"/>
                    </a:xfrm>
                    <a:prstGeom prst="rect"/>
                  </pic:spPr>
                </pic:pic>
              </a:graphicData>
            </a:graphic>
          </wp:inline>
        </w:drawing>
      </w:r>
    </w:p>
    <w:p>
      <w:pPr>
        <w:spacing w:after="240"/>
        <w:jc w:val="center"/>
      </w:pPr>
      <w:r>
        <w:rPr>
          <w:rFonts w:ascii="宋体" w:hAnsi="宋体" w:eastAsia="宋体"/>
          <w:b w:val="0"/>
          <w:color w:val="000000"/>
          <w:sz w:val="21"/>
        </w:rPr>
        <w:t>图6-6 论文结果页与Agent调参对比</w:t>
      </w:r>
    </w:p>
    <w:p>
      <w:pPr>
        <w:jc w:val="center"/>
      </w:pPr>
      <w:r>
        <w:drawing>
          <wp:inline xmlns:a="http://schemas.openxmlformats.org/drawingml/2006/main" xmlns:pic="http://schemas.openxmlformats.org/drawingml/2006/picture">
            <wp:extent cx="5303520" cy="3977640"/>
            <wp:docPr id="8" name="Picture 8"/>
            <wp:cNvGraphicFramePr>
              <a:graphicFrameLocks noChangeAspect="1"/>
            </wp:cNvGraphicFramePr>
            <a:graphic>
              <a:graphicData uri="http://schemas.openxmlformats.org/drawingml/2006/picture">
                <pic:pic>
                  <pic:nvPicPr>
                    <pic:cNvPr id="0" name="ss_f540ec69.png"/>
                    <pic:cNvPicPr/>
                  </pic:nvPicPr>
                  <pic:blipFill>
                    <a:blip r:embed="rId16"/>
                    <a:stretch>
                      <a:fillRect/>
                    </a:stretch>
                  </pic:blipFill>
                  <pic:spPr>
                    <a:xfrm>
                      <a:off x="0" y="0"/>
                      <a:ext cx="5303520" cy="3977640"/>
                    </a:xfrm>
                    <a:prstGeom prst="rect"/>
                  </pic:spPr>
                </pic:pic>
              </a:graphicData>
            </a:graphic>
          </wp:inline>
        </w:drawing>
      </w:r>
    </w:p>
    <w:p>
      <w:pPr>
        <w:spacing w:after="240"/>
        <w:jc w:val="center"/>
      </w:pPr>
      <w:r>
        <w:rPr>
          <w:rFonts w:ascii="宋体" w:hAnsi="宋体" w:eastAsia="宋体"/>
          <w:b w:val="0"/>
          <w:color w:val="000000"/>
          <w:sz w:val="21"/>
        </w:rPr>
        <w:t>图6-7 算法评测页</w:t>
      </w:r>
    </w:p>
    <w:p>
      <w:pPr>
        <w:jc w:val="center"/>
      </w:pPr>
      <w:r>
        <w:drawing>
          <wp:inline xmlns:a="http://schemas.openxmlformats.org/drawingml/2006/main" xmlns:pic="http://schemas.openxmlformats.org/drawingml/2006/picture">
            <wp:extent cx="5303520" cy="3977640"/>
            <wp:docPr id="9" name="Picture 9"/>
            <wp:cNvGraphicFramePr>
              <a:graphicFrameLocks noChangeAspect="1"/>
            </wp:cNvGraphicFramePr>
            <a:graphic>
              <a:graphicData uri="http://schemas.openxmlformats.org/drawingml/2006/picture">
                <pic:pic>
                  <pic:nvPicPr>
                    <pic:cNvPr id="0" name="ss_ccde9818.png"/>
                    <pic:cNvPicPr/>
                  </pic:nvPicPr>
                  <pic:blipFill>
                    <a:blip r:embed="rId17"/>
                    <a:stretch>
                      <a:fillRect/>
                    </a:stretch>
                  </pic:blipFill>
                  <pic:spPr>
                    <a:xfrm>
                      <a:off x="0" y="0"/>
                      <a:ext cx="5303520" cy="3977640"/>
                    </a:xfrm>
                    <a:prstGeom prst="rect"/>
                  </pic:spPr>
                </pic:pic>
              </a:graphicData>
            </a:graphic>
          </wp:inline>
        </w:drawing>
      </w:r>
    </w:p>
    <w:p>
      <w:pPr>
        <w:spacing w:after="240"/>
        <w:jc w:val="center"/>
      </w:pPr>
      <w:r>
        <w:rPr>
          <w:rFonts w:ascii="宋体" w:hAnsi="宋体" w:eastAsia="宋体"/>
          <w:b w:val="0"/>
          <w:color w:val="000000"/>
          <w:sz w:val="21"/>
        </w:rPr>
        <w:t>图6-8 API监控页</w:t>
      </w:r>
    </w:p>
    <w:p>
      <w:pPr>
        <w:spacing w:line="360" w:lineRule="auto" w:before="120" w:after="60"/>
        <w:jc w:val="left"/>
      </w:pPr>
      <w:r>
        <w:rPr>
          <w:rFonts w:ascii="黑体" w:hAnsi="黑体" w:eastAsia="黑体"/>
          <w:b/>
          <w:color w:val="000000"/>
          <w:sz w:val="24"/>
        </w:rPr>
        <w:t>6.4.1 协调Agent核心代码</w:t>
      </w:r>
    </w:p>
    <w:p>
      <w:pPr>
        <w:spacing w:line="360" w:lineRule="auto" w:after="120"/>
        <w:jc w:val="both"/>
      </w:pPr>
      <w:r>
        <w:rPr>
          <w:rFonts w:ascii="宋体" w:hAnsi="宋体" w:eastAsia="宋体"/>
          <w:b w:val="0"/>
          <w:color w:val="000000"/>
          <w:sz w:val="24"/>
        </w:rPr>
        <w:t>协调Agent负责闭环迭代，其 `process` 方法串联感知、规划、执行、评估四个子Agent：</w:t>
      </w:r>
    </w:p>
    <w:p>
      <w:pPr>
        <w:spacing w:line="240" w:lineRule="auto"/>
        <w:ind w:left="425"/>
        <w:jc w:val="left"/>
      </w:pPr>
      <w:r>
        <w:rPr>
          <w:rFonts w:ascii="Consolas" w:hAnsi="Consolas" w:eastAsia="Consolas"/>
          <w:b w:val="0"/>
          <w:color w:val="000000"/>
          <w:sz w:val="18"/>
        </w:rPr>
        <w:t>class Coordinator:</w:t>
        <w:br/>
        <w:t xml:space="preserve">    def process(self, image, reference=None, filename=""):</w:t>
        <w:br/>
        <w:t xml:space="preserve">        executor = ToolExecutor(image, reference, filename)</w:t>
        <w:br/>
        <w:t xml:space="preserve">        perception = self.perception_agent.run(image, filename)</w:t>
        <w:br/>
        <w:t xml:space="preserve">        plan, planner_type = self.planning_agent.run(perception)</w:t>
        <w:br/>
        <w:t xml:space="preserve">        for iteration in range(1, self.max_iterations + 1):</w:t>
        <w:br/>
        <w:t xml:space="preserve">            self.execution_agent.run(executor, plan)</w:t>
        <w:br/>
        <w:t xml:space="preserve">            evaluation = self.evaluation_agent.run(executor)</w:t>
        <w:br/>
        <w:t xml:space="preserve">            if self.evaluation_agent.is_satisfactory(evaluation):</w:t>
        <w:br/>
        <w:t xml:space="preserve">                break</w:t>
        <w:br/>
        <w:t xml:space="preserve">            if iteration &lt; self.max_iterations:</w:t>
        <w:br/>
        <w:t xml:space="preserve">                plan = self.evaluation_agent.suggest_refinement(evaluation, plan)</w:t>
        <w:br/>
        <w:t xml:space="preserve">                executor.current = executor.original.copy()</w:t>
        <w:br/>
        <w:t xml:space="preserve">        self.memory.record(perception, plan, evaluation)</w:t>
        <w:br/>
        <w:t xml:space="preserve">        return {"output": executor.current, "perception": perception,</w:t>
        <w:br/>
        <w:t xml:space="preserve">                "planner": planner_type, "evaluation": evaluation,</w:t>
        <w:br/>
        <w:t xml:space="preserve">                "trace": executor.trace}</w:t>
      </w:r>
    </w:p>
    <w:p>
      <w:r>
        <w:br w:type="page"/>
      </w:r>
    </w:p>
    <w:p>
      <w:pPr>
        <w:spacing w:line="360" w:lineRule="auto" w:before="360" w:after="240"/>
        <w:jc w:val="left"/>
      </w:pPr>
      <w:r>
        <w:rPr>
          <w:rFonts w:ascii="黑体" w:hAnsi="黑体" w:eastAsia="黑体"/>
          <w:b/>
          <w:color w:val="000000"/>
          <w:sz w:val="32"/>
        </w:rPr>
        <w:t>7 系统测试</w:t>
      </w:r>
    </w:p>
    <w:p>
      <w:pPr>
        <w:spacing w:line="360" w:lineRule="auto" w:before="240" w:after="120"/>
        <w:jc w:val="left"/>
      </w:pPr>
      <w:r>
        <w:rPr>
          <w:rFonts w:ascii="黑体" w:hAnsi="黑体" w:eastAsia="黑体"/>
          <w:b/>
          <w:color w:val="000000"/>
          <w:sz w:val="28"/>
        </w:rPr>
        <w:t>7.1 测试方法</w:t>
      </w:r>
    </w:p>
    <w:p>
      <w:pPr>
        <w:spacing w:line="360" w:lineRule="auto" w:after="120"/>
        <w:jc w:val="both"/>
      </w:pPr>
      <w:r>
        <w:rPr>
          <w:rFonts w:ascii="宋体" w:hAnsi="宋体" w:eastAsia="宋体"/>
          <w:b w:val="0"/>
          <w:color w:val="000000"/>
          <w:sz w:val="24"/>
        </w:rPr>
        <w:t>系统采用 `pytest` 进行单元测试，使用 `experiments/run_experiments.py` 进行标准数据集评测，并通过浏览器人工验证前端页面交互与可视化效果。</w:t>
      </w:r>
    </w:p>
    <w:p>
      <w:pPr>
        <w:spacing w:line="360" w:lineRule="auto" w:before="240" w:after="120"/>
        <w:jc w:val="left"/>
      </w:pPr>
      <w:r>
        <w:rPr>
          <w:rFonts w:ascii="黑体" w:hAnsi="黑体" w:eastAsia="黑体"/>
          <w:b/>
          <w:color w:val="000000"/>
          <w:sz w:val="28"/>
        </w:rPr>
        <w:t>7.2 系统功能模块测试</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t>功能模块</w:t>
            </w:r>
          </w:p>
        </w:tc>
        <w:tc>
          <w:tcPr>
            <w:tcW w:type="dxa" w:w="2078"/>
          </w:tcPr>
          <w:p>
            <w:r>
              <w:t>测试用例</w:t>
            </w:r>
          </w:p>
        </w:tc>
        <w:tc>
          <w:tcPr>
            <w:tcW w:type="dxa" w:w="2078"/>
          </w:tcPr>
          <w:p>
            <w:r>
              <w:t>预期结果</w:t>
            </w:r>
          </w:p>
        </w:tc>
        <w:tc>
          <w:tcPr>
            <w:tcW w:type="dxa" w:w="2078"/>
          </w:tcPr>
          <w:p>
            <w:r>
              <w:t>实际结果</w:t>
            </w:r>
          </w:p>
        </w:tc>
      </w:tr>
      <w:tr>
        <w:tc>
          <w:tcPr>
            <w:tcW w:type="dxa" w:w="2078"/>
          </w:tcPr>
          <w:p>
            <w:r>
              <w:t>用户登录</w:t>
            </w:r>
          </w:p>
        </w:tc>
        <w:tc>
          <w:tcPr>
            <w:tcW w:type="dxa" w:w="2078"/>
          </w:tcPr>
          <w:p>
            <w:r>
              <w:t>输入 admin / 123456</w:t>
            </w:r>
          </w:p>
        </w:tc>
        <w:tc>
          <w:tcPr>
            <w:tcW w:type="dxa" w:w="2078"/>
          </w:tcPr>
          <w:p>
            <w:r>
              <w:t>登录成功并返回Token</w:t>
            </w:r>
          </w:p>
        </w:tc>
        <w:tc>
          <w:tcPr>
            <w:tcW w:type="dxa" w:w="2078"/>
          </w:tcPr>
          <w:p>
            <w:r>
              <w:t>通过</w:t>
            </w:r>
          </w:p>
        </w:tc>
      </w:tr>
      <w:tr>
        <w:tc>
          <w:tcPr>
            <w:tcW w:type="dxa" w:w="2078"/>
          </w:tcPr>
          <w:p>
            <w:r>
              <w:t>用户注册</w:t>
            </w:r>
          </w:p>
        </w:tc>
        <w:tc>
          <w:tcPr>
            <w:tcW w:type="dxa" w:w="2078"/>
          </w:tcPr>
          <w:p>
            <w:r>
              <w:t>输入用户名/邮箱/密码</w:t>
            </w:r>
          </w:p>
        </w:tc>
        <w:tc>
          <w:tcPr>
            <w:tcW w:type="dxa" w:w="2078"/>
          </w:tcPr>
          <w:p>
            <w:r>
              <w:t>账户写入users.json</w:t>
            </w:r>
          </w:p>
        </w:tc>
        <w:tc>
          <w:tcPr>
            <w:tcW w:type="dxa" w:w="2078"/>
          </w:tcPr>
          <w:p>
            <w:r>
              <w:t>通过</w:t>
            </w:r>
          </w:p>
        </w:tc>
      </w:tr>
      <w:tr>
        <w:tc>
          <w:tcPr>
            <w:tcW w:type="dxa" w:w="2078"/>
          </w:tcPr>
          <w:p>
            <w:r>
              <w:t>标准处理</w:t>
            </w:r>
          </w:p>
        </w:tc>
        <w:tc>
          <w:tcPr>
            <w:tcW w:type="dxa" w:w="2078"/>
          </w:tcPr>
          <w:p>
            <w:r>
              <w:t>选择脑部切片，σ=25</w:t>
            </w:r>
          </w:p>
        </w:tc>
        <w:tc>
          <w:tcPr>
            <w:tcW w:type="dxa" w:w="2078"/>
          </w:tcPr>
          <w:p>
            <w:r>
              <w:t>返回PSNR/SSIM与结果图</w:t>
            </w:r>
          </w:p>
        </w:tc>
        <w:tc>
          <w:tcPr>
            <w:tcW w:type="dxa" w:w="2078"/>
          </w:tcPr>
          <w:p>
            <w:r>
              <w:t>通过</w:t>
            </w:r>
          </w:p>
        </w:tc>
      </w:tr>
      <w:tr>
        <w:tc>
          <w:tcPr>
            <w:tcW w:type="dxa" w:w="2078"/>
          </w:tcPr>
          <w:p>
            <w:r>
              <w:t>AI调参处理</w:t>
            </w:r>
          </w:p>
        </w:tc>
        <w:tc>
          <w:tcPr>
            <w:tcW w:type="dxa" w:w="2078"/>
          </w:tcPr>
          <w:p>
            <w:r>
              <w:t>选择细胞显微，AI处理</w:t>
            </w:r>
          </w:p>
        </w:tc>
        <w:tc>
          <w:tcPr>
            <w:tcW w:type="dxa" w:w="2078"/>
          </w:tcPr>
          <w:p>
            <w:r>
              <w:t>流式输出6阶段并返回结果</w:t>
            </w:r>
          </w:p>
        </w:tc>
        <w:tc>
          <w:tcPr>
            <w:tcW w:type="dxa" w:w="2078"/>
          </w:tcPr>
          <w:p>
            <w:r>
              <w:t>通过</w:t>
            </w:r>
          </w:p>
        </w:tc>
      </w:tr>
      <w:tr>
        <w:tc>
          <w:tcPr>
            <w:tcW w:type="dxa" w:w="2078"/>
          </w:tcPr>
          <w:p>
            <w:r>
              <w:t>智能对话</w:t>
            </w:r>
          </w:p>
        </w:tc>
        <w:tc>
          <w:tcPr>
            <w:tcW w:type="dxa" w:w="2078"/>
          </w:tcPr>
          <w:p>
            <w:r>
              <w:t>询问'VT-BM3D创新点'</w:t>
            </w:r>
          </w:p>
        </w:tc>
        <w:tc>
          <w:tcPr>
            <w:tcW w:type="dxa" w:w="2078"/>
          </w:tcPr>
          <w:p>
            <w:r>
              <w:t>返回论文相关回答</w:t>
            </w:r>
          </w:p>
        </w:tc>
        <w:tc>
          <w:tcPr>
            <w:tcW w:type="dxa" w:w="2078"/>
          </w:tcPr>
          <w:p>
            <w:r>
              <w:t>通过</w:t>
            </w:r>
          </w:p>
        </w:tc>
      </w:tr>
      <w:tr>
        <w:tc>
          <w:tcPr>
            <w:tcW w:type="dxa" w:w="2078"/>
          </w:tcPr>
          <w:p>
            <w:r>
              <w:t>API监控</w:t>
            </w:r>
          </w:p>
        </w:tc>
        <w:tc>
          <w:tcPr>
            <w:tcW w:type="dxa" w:w="2078"/>
          </w:tcPr>
          <w:p>
            <w:r>
              <w:t>查看监控页</w:t>
            </w:r>
          </w:p>
        </w:tc>
        <w:tc>
          <w:tcPr>
            <w:tcW w:type="dxa" w:w="2078"/>
          </w:tcPr>
          <w:p>
            <w:r>
              <w:t>显示今日token/调用次数/费用</w:t>
            </w:r>
          </w:p>
        </w:tc>
        <w:tc>
          <w:tcPr>
            <w:tcW w:type="dxa" w:w="2078"/>
          </w:tcPr>
          <w:p>
            <w:r>
              <w:t>通过</w:t>
            </w:r>
          </w:p>
        </w:tc>
      </w:tr>
    </w:tbl>
    <w:p>
      <w:pPr>
        <w:jc w:val="center"/>
      </w:pPr>
      <w:r>
        <w:rPr>
          <w:rFonts w:ascii="宋体" w:hAnsi="宋体" w:eastAsia="宋体"/>
          <w:b w:val="0"/>
          <w:color w:val="000000"/>
          <w:sz w:val="21"/>
        </w:rPr>
        <w:t>表7-1 系统功能测试用例</w:t>
      </w:r>
    </w:p>
    <w:p>
      <w:pPr>
        <w:spacing w:line="360" w:lineRule="auto" w:before="240" w:after="120"/>
        <w:jc w:val="left"/>
      </w:pPr>
      <w:r>
        <w:rPr>
          <w:rFonts w:ascii="黑体" w:hAnsi="黑体" w:eastAsia="黑体"/>
          <w:b/>
          <w:color w:val="000000"/>
          <w:sz w:val="28"/>
        </w:rPr>
        <w:t>7.3 系统性能测试</w:t>
      </w:r>
    </w:p>
    <w:p>
      <w:pPr>
        <w:spacing w:line="360" w:lineRule="auto" w:after="120"/>
        <w:jc w:val="both"/>
      </w:pPr>
      <w:r>
        <w:rPr>
          <w:rFonts w:ascii="宋体" w:hAnsi="宋体" w:eastAsia="宋体"/>
          <w:b w:val="0"/>
          <w:color w:val="000000"/>
          <w:sz w:val="24"/>
        </w:rPr>
        <w:t>在Set12与BSDS300数据集上的定量评测显示，VT-BM3D在σ=15时相对BM3D平均PSNR提升2.04 dB，最大提升4.19 dB；在g3结构噪声下耗时平均降低11.7%。在医学影像示例上，Agent调参后相对未调参基线PSNR提升约0.30 dB（表7-2）。</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t>样本</w:t>
            </w:r>
          </w:p>
        </w:tc>
        <w:tc>
          <w:tcPr>
            <w:tcW w:type="dxa" w:w="2078"/>
          </w:tcPr>
          <w:p>
            <w:r>
              <w:t>未调参PSNR/dB</w:t>
            </w:r>
          </w:p>
        </w:tc>
        <w:tc>
          <w:tcPr>
            <w:tcW w:type="dxa" w:w="2078"/>
          </w:tcPr>
          <w:p>
            <w:r>
              <w:t>Agent调参PSNR/dB</w:t>
            </w:r>
          </w:p>
        </w:tc>
        <w:tc>
          <w:tcPr>
            <w:tcW w:type="dxa" w:w="2078"/>
          </w:tcPr>
          <w:p>
            <w:r>
              <w:t>ΔPSNR/dB</w:t>
            </w:r>
          </w:p>
        </w:tc>
      </w:tr>
      <w:tr>
        <w:tc>
          <w:tcPr>
            <w:tcW w:type="dxa" w:w="2078"/>
          </w:tcPr>
          <w:p>
            <w:r>
              <w:t>brain_slice</w:t>
            </w:r>
          </w:p>
        </w:tc>
        <w:tc>
          <w:tcPr>
            <w:tcW w:type="dxa" w:w="2078"/>
          </w:tcPr>
          <w:p>
            <w:r>
              <w:t>29.67</w:t>
            </w:r>
          </w:p>
        </w:tc>
        <w:tc>
          <w:tcPr>
            <w:tcW w:type="dxa" w:w="2078"/>
          </w:tcPr>
          <w:p>
            <w:r>
              <w:t>29.97</w:t>
            </w:r>
          </w:p>
        </w:tc>
        <w:tc>
          <w:tcPr>
            <w:tcW w:type="dxa" w:w="2078"/>
          </w:tcPr>
          <w:p>
            <w:r>
              <w:t>+0.30</w:t>
            </w:r>
          </w:p>
        </w:tc>
      </w:tr>
      <w:tr>
        <w:tc>
          <w:tcPr>
            <w:tcW w:type="dxa" w:w="2078"/>
          </w:tcPr>
          <w:p>
            <w:r>
              <w:t>cell</w:t>
            </w:r>
          </w:p>
        </w:tc>
        <w:tc>
          <w:tcPr>
            <w:tcW w:type="dxa" w:w="2078"/>
          </w:tcPr>
          <w:p>
            <w:r>
              <w:t>36.84</w:t>
            </w:r>
          </w:p>
        </w:tc>
        <w:tc>
          <w:tcPr>
            <w:tcW w:type="dxa" w:w="2078"/>
          </w:tcPr>
          <w:p>
            <w:r>
              <w:t>37.15</w:t>
            </w:r>
          </w:p>
        </w:tc>
        <w:tc>
          <w:tcPr>
            <w:tcW w:type="dxa" w:w="2078"/>
          </w:tcPr>
          <w:p>
            <w:r>
              <w:t>+0.31</w:t>
            </w:r>
          </w:p>
        </w:tc>
      </w:tr>
      <w:tr>
        <w:tc>
          <w:tcPr>
            <w:tcW w:type="dxa" w:w="2078"/>
          </w:tcPr>
          <w:p>
            <w:r>
              <w:t>skin</w:t>
            </w:r>
          </w:p>
        </w:tc>
        <w:tc>
          <w:tcPr>
            <w:tcW w:type="dxa" w:w="2078"/>
          </w:tcPr>
          <w:p>
            <w:r>
              <w:t>24.94</w:t>
            </w:r>
          </w:p>
        </w:tc>
        <w:tc>
          <w:tcPr>
            <w:tcW w:type="dxa" w:w="2078"/>
          </w:tcPr>
          <w:p>
            <w:r>
              <w:t>25.24</w:t>
            </w:r>
          </w:p>
        </w:tc>
        <w:tc>
          <w:tcPr>
            <w:tcW w:type="dxa" w:w="2078"/>
          </w:tcPr>
          <w:p>
            <w:r>
              <w:t>+0.30</w:t>
            </w:r>
          </w:p>
        </w:tc>
      </w:tr>
    </w:tbl>
    <w:p>
      <w:pPr>
        <w:jc w:val="center"/>
      </w:pPr>
      <w:r>
        <w:rPr>
          <w:rFonts w:ascii="宋体" w:hAnsi="宋体" w:eastAsia="宋体"/>
          <w:b w:val="0"/>
          <w:color w:val="000000"/>
          <w:sz w:val="21"/>
        </w:rPr>
        <w:t>表7-2 Agent调参与未调参PSNR对比</w:t>
      </w:r>
    </w:p>
    <w:p>
      <w:pPr>
        <w:spacing w:line="360" w:lineRule="auto" w:before="240" w:after="120"/>
        <w:jc w:val="left"/>
      </w:pPr>
      <w:r>
        <w:rPr>
          <w:rFonts w:ascii="黑体" w:hAnsi="黑体" w:eastAsia="黑体"/>
          <w:b/>
          <w:color w:val="000000"/>
          <w:sz w:val="28"/>
        </w:rPr>
        <w:t>7.4 测试分析和总结</w:t>
      </w:r>
    </w:p>
    <w:p>
      <w:pPr>
        <w:spacing w:line="360" w:lineRule="auto" w:after="120"/>
        <w:jc w:val="both"/>
      </w:pPr>
      <w:r>
        <w:rPr>
          <w:rFonts w:ascii="宋体" w:hAnsi="宋体" w:eastAsia="宋体"/>
          <w:b w:val="0"/>
          <w:color w:val="000000"/>
          <w:sz w:val="24"/>
        </w:rPr>
        <w:t>单元测试 `tests/test_system.py` 共13个用例全部通过；前端各页面交互正常；API调用记录显示LLM调参耗时从原来的约58秒（3次LLM调用）降低至约34秒（2次LLM调用），满足使用需求。</w:t>
      </w:r>
    </w:p>
    <w:p>
      <w:r>
        <w:br w:type="page"/>
      </w:r>
    </w:p>
    <w:p>
      <w:pPr>
        <w:spacing w:line="360" w:lineRule="auto" w:before="360" w:after="240"/>
        <w:jc w:val="left"/>
      </w:pPr>
      <w:r>
        <w:rPr>
          <w:rFonts w:ascii="黑体" w:hAnsi="黑体" w:eastAsia="黑体"/>
          <w:b/>
          <w:color w:val="000000"/>
          <w:sz w:val="32"/>
        </w:rPr>
        <w:t>8 结论与展望</w:t>
      </w:r>
    </w:p>
    <w:p>
      <w:pPr>
        <w:spacing w:line="360" w:lineRule="auto" w:after="120"/>
        <w:jc w:val="both"/>
      </w:pPr>
      <w:r>
        <w:rPr>
          <w:rFonts w:ascii="宋体" w:hAnsi="宋体" w:eastAsia="宋体"/>
          <w:b w:val="0"/>
          <w:color w:val="000000"/>
          <w:sz w:val="24"/>
        </w:rPr>
        <w:t>本文设计并实现了 MedDenoise-Agent，一个基于多Agent协作的医学影像智能去噪与质量增强系统。系统以VT-BM3D算法为核心，结合感知、决策、执行、评估与协调Agent，实现了从影像输入到质量评估的闭环自动化。可视化前端与FastAPI后端提供了友好的交互体验，API监控页便于用户控制调用成本。实验结果表明，VT-BM3D在标准数据集与医学影像示例上均优于传统BM3D，Agent调参可获得约0.3 dB的PSNR提升。</w:t>
      </w:r>
    </w:p>
    <w:p>
      <w:pPr>
        <w:spacing w:line="360" w:lineRule="auto" w:after="120"/>
        <w:jc w:val="both"/>
      </w:pPr>
      <w:r>
        <w:rPr>
          <w:rFonts w:ascii="宋体" w:hAnsi="宋体" w:eastAsia="宋体"/>
          <w:b w:val="0"/>
          <w:color w:val="000000"/>
          <w:sz w:val="24"/>
        </w:rPr>
        <w:t>未来工作包括：引入3D DICOM体数据支持；训练面向医学影像的端到端去噪网络；使用强化学习进一步优化Agent决策策略；构建更大规模的案例记忆库以提升LLM规划质量；实现多模态影像（CT/MRI/X光）自适应模态识别与参数库。</w:t>
      </w:r>
    </w:p>
    <w:p>
      <w:r>
        <w:br w:type="page"/>
      </w:r>
    </w:p>
    <w:p>
      <w:pPr>
        <w:spacing w:line="360" w:lineRule="auto" w:before="360" w:after="240"/>
        <w:jc w:val="left"/>
      </w:pPr>
      <w:r>
        <w:rPr>
          <w:rFonts w:ascii="黑体" w:hAnsi="黑体" w:eastAsia="黑体"/>
          <w:b/>
          <w:color w:val="000000"/>
          <w:sz w:val="32"/>
        </w:rPr>
        <w:t>参考文献</w:t>
      </w:r>
    </w:p>
    <w:p>
      <w:pPr>
        <w:spacing w:line="360" w:lineRule="auto"/>
      </w:pPr>
      <w:r>
        <w:rPr>
          <w:rFonts w:ascii="宋体" w:hAnsi="宋体" w:eastAsia="宋体"/>
          <w:b w:val="0"/>
          <w:color w:val="000000"/>
          <w:sz w:val="21"/>
        </w:rPr>
        <w:t>[1] Dabov K, Foi A, Katkovnik V, et al. Image denoising by sparse 3-D transform-domain collaborative filtering[J]. IEEE Transactions on Image Processing, 2007, 16(8): 2080-2095.</w:t>
      </w:r>
    </w:p>
    <w:p>
      <w:pPr>
        <w:spacing w:line="360" w:lineRule="auto"/>
      </w:pPr>
      <w:r>
        <w:rPr>
          <w:rFonts w:ascii="宋体" w:hAnsi="宋体" w:eastAsia="宋体"/>
          <w:b w:val="0"/>
          <w:color w:val="000000"/>
          <w:sz w:val="21"/>
        </w:rPr>
        <w:t>[2] Peng L, et al. VT-BM3D: A collaborative filtering framework with joint optimization of structure awareness and noise characteristics[J]. Signal Processing, 2026, 243: 110417.</w:t>
      </w:r>
    </w:p>
    <w:p>
      <w:pPr>
        <w:spacing w:line="360" w:lineRule="auto"/>
      </w:pPr>
      <w:r>
        <w:rPr>
          <w:rFonts w:ascii="宋体" w:hAnsi="宋体" w:eastAsia="宋体"/>
          <w:b w:val="0"/>
          <w:color w:val="000000"/>
          <w:sz w:val="21"/>
        </w:rPr>
        <w:t>[3] Zhang K, Zuo W, Chen Y, et al. Beyond a Gaussian denoiser: Residual learning of deep CNN for image denoising[J]. IEEE Transactions on Image Processing, 2017, 26(7): 3142-3155.</w:t>
      </w:r>
    </w:p>
    <w:p>
      <w:pPr>
        <w:spacing w:line="360" w:lineRule="auto"/>
      </w:pPr>
      <w:r>
        <w:rPr>
          <w:rFonts w:ascii="宋体" w:hAnsi="宋体" w:eastAsia="宋体"/>
          <w:b w:val="0"/>
          <w:color w:val="000000"/>
          <w:sz w:val="21"/>
        </w:rPr>
        <w:t>[4] Buades A, Coll B, Morel J M. A non-local algorithm for image denoising[C]//IEEE Computer Society Conference on Computer Vision and Pattern Recognition. 2005, 2: 60-65.</w:t>
      </w:r>
    </w:p>
    <w:p>
      <w:pPr>
        <w:spacing w:line="360" w:lineRule="auto"/>
      </w:pPr>
      <w:r>
        <w:rPr>
          <w:rFonts w:ascii="宋体" w:hAnsi="宋体" w:eastAsia="宋体"/>
          <w:b w:val="0"/>
          <w:color w:val="000000"/>
          <w:sz w:val="21"/>
        </w:rPr>
        <w:t>[5] Yue H, Sun X, Wu J, et al. Image denoising by exploring external and internal correlations[J]. IEEE Transactions on Image Processing, 2015, 24(6): 1967-1982.</w:t>
      </w:r>
    </w:p>
    <w:p>
      <w:pPr>
        <w:spacing w:line="360" w:lineRule="auto"/>
      </w:pPr>
      <w:r>
        <w:rPr>
          <w:rFonts w:ascii="宋体" w:hAnsi="宋体" w:eastAsia="宋体"/>
          <w:b w:val="0"/>
          <w:color w:val="000000"/>
          <w:sz w:val="21"/>
        </w:rPr>
        <w:t>[6] Anthropic. Claude API documentation[EB/OL]. https://docs.anthropic.com/claude/docs, 2024.</w:t>
      </w:r>
    </w:p>
    <w:p>
      <w:r>
        <w:br w:type="page"/>
      </w:r>
    </w:p>
    <w:p>
      <w:pPr>
        <w:spacing w:line="360" w:lineRule="auto" w:before="360" w:after="240"/>
        <w:jc w:val="left"/>
      </w:pPr>
      <w:r>
        <w:rPr>
          <w:rFonts w:ascii="黑体" w:hAnsi="黑体" w:eastAsia="黑体"/>
          <w:b/>
          <w:color w:val="000000"/>
          <w:sz w:val="32"/>
        </w:rPr>
        <w:t>致  谢</w:t>
      </w:r>
    </w:p>
    <w:p>
      <w:pPr>
        <w:spacing w:line="360" w:lineRule="auto" w:after="120"/>
        <w:jc w:val="both"/>
      </w:pPr>
      <w:r>
        <w:rPr>
          <w:rFonts w:ascii="宋体" w:hAnsi="宋体" w:eastAsia="宋体"/>
          <w:b w:val="0"/>
          <w:color w:val="000000"/>
          <w:sz w:val="24"/>
        </w:rPr>
        <w:t>衷心感谢指导老师在本次小学期实训中的悉心指导与耐心帮助。感谢新疆大学软件学院提供的实训环境与学习资源。感谢开源社区提供的NumPy、scikit-image、BM3D、FastAPI、Vue3等优秀工具，使本项目得以顺利完成。</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