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华文行楷" w:hAnsi="华文行楷" w:eastAsia="华文行楷"/>
          <w:b/>
          <w:color w:val="122E8A"/>
          <w:sz w:val="44"/>
        </w:rPr>
        <w:t>东莞理工学院城市学院</w:t>
      </w:r>
    </w:p>
    <w:p/>
    <w:p>
      <w:pPr>
        <w:jc w:val="center"/>
      </w:pPr>
      <w:r>
        <w:rPr>
          <w:rFonts w:ascii="黑体" w:hAnsi="黑体" w:eastAsia="黑体"/>
          <w:b/>
          <w:color w:val="122E8A"/>
          <w:sz w:val="52"/>
        </w:rPr>
        <w:t>小学期实训论文</w:t>
      </w:r>
    </w:p>
    <w:p/>
    <w:p/>
    <w:p/>
    <w:p>
      <w:pPr>
        <w:jc w:val="center"/>
      </w:pPr>
      <w:r>
        <w:rPr>
          <w:rFonts w:ascii="宋体" w:hAnsi="宋体" w:eastAsia="宋体"/>
          <w:b/>
          <w:color w:val="000000"/>
          <w:sz w:val="44"/>
        </w:rPr>
        <w:t>基于智能Agent的医学影像去噪与质量增强系统</w:t>
      </w:r>
    </w:p>
    <w:p/>
    <w:p>
      <w:pPr>
        <w:jc w:val="center"/>
      </w:pPr>
      <w:r>
        <w:rPr>
          <w:rFonts w:ascii="楷体" w:hAnsi="楷体" w:eastAsia="楷体"/>
          <w:b w:val="0"/>
          <w:color w:val="000000"/>
          <w:sz w:val="28"/>
        </w:rPr>
        <w:t>— 论文VT-BM3D算法 × AI智能体调参 —</w:t>
      </w:r>
    </w:p>
    <w:p/>
    <w:p/>
    <w:p/>
    <w:p/>
    <w:p/>
    <w:tbl>
      <w:tblPr>
        <w:tblW w:type="auto" w:w="0"/>
        <w:jc w:val="center"/>
        <w:tblLook w:firstColumn="1" w:firstRow="1" w:lastColumn="0" w:lastRow="0" w:noHBand="0" w:noVBand="1" w:val="04A0"/>
      </w:tblPr>
      <w:tblGrid>
        <w:gridCol w:w="4156"/>
        <w:gridCol w:w="4156"/>
      </w:tblGrid>
      <w:tr>
        <w:tc>
          <w:tcPr>
            <w:tcW w:type="dxa" w:w="4156"/>
          </w:tcPr>
          <w:p>
            <w:pPr>
              <w:jc w:val="center"/>
            </w:pPr>
            <w:r>
              <w:rPr>
                <w:rFonts w:ascii="宋体" w:hAnsi="宋体" w:eastAsia="宋体"/>
                <w:b/>
                <w:color w:val="000000"/>
                <w:sz w:val="24"/>
              </w:rPr>
              <w:t>学生姓名：</w:t>
            </w:r>
          </w:p>
        </w:tc>
        <w:tc>
          <w:tcPr>
            <w:tcW w:type="dxa" w:w="4156"/>
          </w:tcPr>
          <w:p>
            <w:pPr>
              <w:jc w:val="center"/>
            </w:pPr>
            <w:r>
              <w:rPr>
                <w:rFonts w:ascii="宋体" w:hAnsi="宋体" w:eastAsia="宋体"/>
                <w:b w:val="0"/>
                <w:color w:val="000000"/>
                <w:sz w:val="24"/>
              </w:rPr>
            </w:r>
          </w:p>
        </w:tc>
      </w:tr>
      <w:tr>
        <w:tc>
          <w:tcPr>
            <w:tcW w:type="dxa" w:w="4156"/>
          </w:tcPr>
          <w:p>
            <w:pPr>
              <w:jc w:val="center"/>
            </w:pPr>
            <w:r>
              <w:rPr>
                <w:rFonts w:ascii="宋体" w:hAnsi="宋体" w:eastAsia="宋体"/>
                <w:b/>
                <w:color w:val="000000"/>
                <w:sz w:val="24"/>
              </w:rPr>
              <w:t>学    号：</w:t>
            </w:r>
          </w:p>
        </w:tc>
        <w:tc>
          <w:tcPr>
            <w:tcW w:type="dxa" w:w="4156"/>
          </w:tcPr>
          <w:p>
            <w:pPr>
              <w:jc w:val="center"/>
            </w:pPr>
            <w:r>
              <w:rPr>
                <w:rFonts w:ascii="宋体" w:hAnsi="宋体" w:eastAsia="宋体"/>
                <w:b w:val="0"/>
                <w:color w:val="000000"/>
                <w:sz w:val="24"/>
              </w:rPr>
            </w:r>
          </w:p>
        </w:tc>
      </w:tr>
      <w:tr>
        <w:tc>
          <w:tcPr>
            <w:tcW w:type="dxa" w:w="4156"/>
          </w:tcPr>
          <w:p>
            <w:pPr>
              <w:jc w:val="center"/>
            </w:pPr>
            <w:r>
              <w:rPr>
                <w:rFonts w:ascii="宋体" w:hAnsi="宋体" w:eastAsia="宋体"/>
                <w:b/>
                <w:color w:val="000000"/>
                <w:sz w:val="24"/>
              </w:rPr>
              <w:t>所属院系：</w:t>
            </w:r>
          </w:p>
        </w:tc>
        <w:tc>
          <w:tcPr>
            <w:tcW w:type="dxa" w:w="4156"/>
          </w:tcPr>
          <w:p>
            <w:pPr>
              <w:jc w:val="center"/>
            </w:pPr>
            <w:r>
              <w:rPr>
                <w:rFonts w:ascii="宋体" w:hAnsi="宋体" w:eastAsia="宋体"/>
                <w:b w:val="0"/>
                <w:color w:val="000000"/>
                <w:sz w:val="24"/>
              </w:rPr>
              <w:t>软件学院</w:t>
            </w:r>
          </w:p>
        </w:tc>
      </w:tr>
      <w:tr>
        <w:tc>
          <w:tcPr>
            <w:tcW w:type="dxa" w:w="4156"/>
          </w:tcPr>
          <w:p>
            <w:pPr>
              <w:jc w:val="center"/>
            </w:pPr>
            <w:r>
              <w:rPr>
                <w:rFonts w:ascii="宋体" w:hAnsi="宋体" w:eastAsia="宋体"/>
                <w:b/>
                <w:color w:val="000000"/>
                <w:sz w:val="24"/>
              </w:rPr>
              <w:t>专    业：</w:t>
            </w:r>
          </w:p>
        </w:tc>
        <w:tc>
          <w:tcPr>
            <w:tcW w:type="dxa" w:w="4156"/>
          </w:tcPr>
          <w:p>
            <w:pPr>
              <w:jc w:val="center"/>
            </w:pPr>
            <w:r>
              <w:rPr>
                <w:rFonts w:ascii="宋体" w:hAnsi="宋体" w:eastAsia="宋体"/>
                <w:b w:val="0"/>
                <w:color w:val="000000"/>
                <w:sz w:val="24"/>
              </w:rPr>
              <w:t>软件工程</w:t>
            </w:r>
          </w:p>
        </w:tc>
      </w:tr>
      <w:tr>
        <w:tc>
          <w:tcPr>
            <w:tcW w:type="dxa" w:w="4156"/>
          </w:tcPr>
          <w:p>
            <w:pPr>
              <w:jc w:val="center"/>
            </w:pPr>
            <w:r>
              <w:rPr>
                <w:rFonts w:ascii="宋体" w:hAnsi="宋体" w:eastAsia="宋体"/>
                <w:b/>
                <w:color w:val="000000"/>
                <w:sz w:val="24"/>
              </w:rPr>
              <w:t>班    级：</w:t>
            </w:r>
          </w:p>
        </w:tc>
        <w:tc>
          <w:tcPr>
            <w:tcW w:type="dxa" w:w="4156"/>
          </w:tcPr>
          <w:p>
            <w:pPr>
              <w:jc w:val="center"/>
            </w:pPr>
            <w:r>
              <w:rPr>
                <w:rFonts w:ascii="宋体" w:hAnsi="宋体" w:eastAsia="宋体"/>
                <w:b w:val="0"/>
                <w:color w:val="000000"/>
                <w:sz w:val="24"/>
              </w:rPr>
            </w:r>
          </w:p>
        </w:tc>
      </w:tr>
      <w:tr>
        <w:tc>
          <w:tcPr>
            <w:tcW w:type="dxa" w:w="4156"/>
          </w:tcPr>
          <w:p>
            <w:pPr>
              <w:jc w:val="center"/>
            </w:pPr>
            <w:r>
              <w:rPr>
                <w:rFonts w:ascii="宋体" w:hAnsi="宋体" w:eastAsia="宋体"/>
                <w:b/>
                <w:color w:val="000000"/>
                <w:sz w:val="24"/>
              </w:rPr>
              <w:t>指导老师：</w:t>
            </w:r>
          </w:p>
        </w:tc>
        <w:tc>
          <w:tcPr>
            <w:tcW w:type="dxa" w:w="4156"/>
          </w:tcPr>
          <w:p>
            <w:pPr>
              <w:jc w:val="center"/>
            </w:pPr>
            <w:r>
              <w:rPr>
                <w:rFonts w:ascii="宋体" w:hAnsi="宋体" w:eastAsia="宋体"/>
                <w:b w:val="0"/>
                <w:color w:val="000000"/>
                <w:sz w:val="24"/>
              </w:rPr>
            </w:r>
          </w:p>
        </w:tc>
      </w:tr>
      <w:tr>
        <w:tc>
          <w:tcPr>
            <w:tcW w:type="dxa" w:w="4156"/>
          </w:tcPr>
          <w:p>
            <w:pPr>
              <w:jc w:val="center"/>
            </w:pPr>
            <w:r>
              <w:rPr>
                <w:rFonts w:ascii="宋体" w:hAnsi="宋体" w:eastAsia="宋体"/>
                <w:b/>
                <w:color w:val="000000"/>
                <w:sz w:val="24"/>
              </w:rPr>
              <w:t>日    期：</w:t>
            </w:r>
          </w:p>
        </w:tc>
        <w:tc>
          <w:tcPr>
            <w:tcW w:type="dxa" w:w="4156"/>
          </w:tcPr>
          <w:p>
            <w:pPr>
              <w:jc w:val="center"/>
            </w:pPr>
            <w:r>
              <w:rPr>
                <w:rFonts w:ascii="宋体" w:hAnsi="宋体" w:eastAsia="宋体"/>
                <w:b w:val="0"/>
                <w:color w:val="000000"/>
                <w:sz w:val="24"/>
              </w:rPr>
              <w:t xml:space="preserve">    年   月   日</w:t>
            </w:r>
          </w:p>
        </w:tc>
      </w:tr>
    </w:tbl>
    <w:p>
      <w:r>
        <w:br w:type="page"/>
      </w:r>
    </w:p>
    <w:p>
      <w:pPr>
        <w:pStyle w:val="Heading2"/>
        <w:jc w:val="left"/>
      </w:pPr>
      <w:r>
        <w:rPr>
          <w:rFonts w:ascii="黑体" w:hAnsi="黑体" w:eastAsia="黑体"/>
          <w:b/>
          <w:color w:val="000000"/>
          <w:sz w:val="32"/>
        </w:rPr>
        <w:t>摘  要</w:t>
      </w:r>
    </w:p>
    <w:p>
      <w:pPr>
        <w:spacing w:line="360" w:lineRule="auto" w:after="120" w:before="0"/>
        <w:ind w:firstLine="420"/>
      </w:pPr>
      <w:r>
        <w:rPr>
          <w:rFonts w:ascii="宋体" w:hAnsi="宋体" w:eastAsia="宋体"/>
          <w:b w:val="0"/>
          <w:color w:val="000000"/>
          <w:sz w:val="21"/>
        </w:rPr>
        <w:t>医学影像在现代医学诊断中占据核心地位，然而影像采集、传输和存储过程中不可避免地受到噪声干扰，低信噪比图像不仅影响医生的主观判读，也降低了计算机辅助诊断、病灶分割与特征提取等下游任务的精度。传统的去噪算法（如高斯滤波、中值滤波、NLM和BM3D）虽然能够在一定程度上抑制噪声，但在边缘/纹理保护与噪声抑制之间存在矛盾，且对噪声强度、图像模态和结构化噪声类型缺乏自适应能力。近年来，以VT-BM3D为代表的结构感知协同滤波算法通过引入局部方差与结构张量显著性图，在去噪与保细节之间取得了更好的平衡；同时，大语言模型（LLM）驱动的智能Agent为多模态医学影像处理提供了更强的推理、规划与知识复用能力。本文设计并实现了MedDenoise-Agent系统，将VT-BM3D算法作为核心执行器，以多Agent协作范式完成医学影像智能去噪。系统包括感知Agent、决策Agent、执行Agent、评估Agent和协调Agent五个角色：感知Agent通过小波MAD估计、结构张量分析、Canny边缘密度与模态识别，形成对输入影像的多维度画像；决策Agent结合领域技能库（SKILL.md）与历史案例记忆，利用Anthropic兼容API生成VT-BM3D参数方案，并在有API Key时进行真实LLM推理，无Key时回退到专家规则引擎以保证离线可演示；执行Agent通过工具注册表调用VT-BM3D去噪与后处理增强；评估Agent基于全参考（PSNR/SSIM/RMSE）与无参考（清晰度、梯度能量、熵）指标进行质量评估；协调Agent组织上述子Agent进行迭代优化。前端采用Vue 3单页应用+ECharts实现输入配置、流式状态展示、论文结果可视化、算法评测与API监控；后端基于FastAPI提供静态服务、JWT认证、SSE流式处理、历史记录与用量统计。实验在Set12/BSDS300标准数据集和MedSmall医学影像子集上进行了复现，结果与论文VT-BM3D一致：Set12上g3平均PSNR提升约1.56 dB，BSDS300上g3平均提升约2.26 dB；在医学影像上，Agent调参较未调参基线平均提升约0.3 dB PSNR，同时SSIM更高、RMSE更低。系统还提供了完整的API监控仪表盘，可实时查看Token消耗、调用次数、费用与模型配置，便于成本可控。</w:t>
      </w:r>
    </w:p>
    <w:p>
      <w:r>
        <w:rPr>
          <w:rFonts w:ascii="黑体" w:hAnsi="黑体" w:eastAsia="黑体"/>
          <w:b/>
          <w:color w:val="000000"/>
          <w:sz w:val="21"/>
        </w:rPr>
        <w:t>关键词：</w:t>
      </w:r>
      <w:r>
        <w:rPr>
          <w:rFonts w:ascii="宋体" w:hAnsi="宋体" w:eastAsia="宋体"/>
          <w:b w:val="0"/>
          <w:color w:val="000000"/>
          <w:sz w:val="21"/>
        </w:rPr>
        <w:t>医学影像去噪；VT-BM3D；多Agent系统；大语言模型；FastAPI；Vue 3</w:t>
      </w:r>
    </w:p>
    <w:p>
      <w:r>
        <w:br w:type="page"/>
      </w:r>
    </w:p>
    <w:p>
      <w:pPr>
        <w:pStyle w:val="Heading2"/>
        <w:jc w:val="left"/>
      </w:pPr>
      <w:r>
        <w:rPr>
          <w:rFonts w:ascii="黑体" w:hAnsi="黑体" w:eastAsia="黑体"/>
          <w:b/>
          <w:color w:val="000000"/>
          <w:sz w:val="32"/>
        </w:rPr>
        <w:t>ABSTRACT</w:t>
      </w:r>
    </w:p>
    <w:p>
      <w:pPr>
        <w:spacing w:line="360" w:lineRule="auto" w:after="120" w:before="0"/>
        <w:ind w:firstLine="0"/>
      </w:pPr>
      <w:r>
        <w:rPr>
          <w:rFonts w:ascii="宋体" w:hAnsi="宋体" w:eastAsia="宋体"/>
          <w:b w:val="0"/>
          <w:color w:val="000000"/>
          <w:sz w:val="21"/>
        </w:rPr>
        <w:t>Medical images play a central role in modern clinical diagnosis. However, image acquisition, transmission, and storage inevitably introduce noise that degrades visual quality and the accuracy of downstream tasks such as computer-aided diagnosis, lesion segmentation and feature extraction. Traditional denoising algorithms, including Gaussian filtering, median filtering, NLM and BM3D, can suppress noise to some extent, but they struggle to balance edge/texture preservation with noise removal and lack adaptivity for noise level, modality and structured noise patterns. VT-BM3D addresses this issue by introducing a structure-saliency map combining local variance and structure-tensor coherence. Meanwhile, LLM-driven agents provide reasoning, planning and knowledge reuse capabilities for multi-modal medical image processing. This paper presents MedDenoise-Agent, a system that uses VT-BM3D as the core executor and realizes intelligent medical-image denoising through multi-agent collaboration. The system consists of perception, planning, execution, evaluation and coordinator agents. The perception agent produces a multi-dimensional profile of the input image through wavelet MAD estimation, structure-tensor analysis, Canny edge density and modality recognition. The planning agent, backed by a skill knowledge base and case memory, generates VT-BM3D parameters via an Anthropic-compatible API; it falls back to an expert rule engine when no key is configured. The execution agent invokes VT-BM3D denoising and post-processing enhancers through a tool registry. The evaluation agent combines full-reference and no-reference metrics, while the coordinator agent orchestrates iterative optimization. The front-end is built with Vue 3 and ECharts; the FastAPI back-end provides static services, JWT authentication, SSE streaming, history records and API usage statistics. Experiments on Set12/BSDS300 standard datasets and the MedSmall medical subset reproduce the VT-BM3D paper results: Set12 g3 gains about 1.56 dB on average, BSDS300 g3 gains about 2.26 dB. On medical images, agent tuning improves PSNR by about 0.3 dB over the untuned baseline with higher SSIM and lower RMSE. The system also provides a complete API monitoring dashboard for token consumption, call counts, costs and model configuration.</w:t>
      </w:r>
    </w:p>
    <w:p>
      <w:r>
        <w:rPr>
          <w:rFonts w:ascii="黑体" w:hAnsi="黑体" w:eastAsia="黑体"/>
          <w:b/>
          <w:color w:val="000000"/>
          <w:sz w:val="21"/>
        </w:rPr>
        <w:t xml:space="preserve">Keywords: </w:t>
      </w:r>
      <w:r>
        <w:rPr>
          <w:rFonts w:ascii="宋体" w:hAnsi="宋体" w:eastAsia="宋体"/>
          <w:b w:val="0"/>
          <w:color w:val="000000"/>
          <w:sz w:val="21"/>
        </w:rPr>
        <w:t>medical image denoising; VT-BM3D; multi-agent system; large language model; FastAPI; Vue 3</w:t>
      </w:r>
    </w:p>
    <w:p>
      <w:r>
        <w:br w:type="page"/>
      </w:r>
    </w:p>
    <w:p>
      <w:pPr>
        <w:jc w:val="center"/>
      </w:pPr>
      <w:r>
        <w:rPr>
          <w:rFonts w:ascii="黑体" w:hAnsi="黑体" w:eastAsia="黑体"/>
          <w:b/>
          <w:color w:val="000000"/>
          <w:sz w:val="32"/>
        </w:rPr>
        <w:t>目  录</w:t>
      </w:r>
    </w:p>
    <w:p>
      <w:r>
        <w:fldChar w:fldCharType="begin"/>
        <w:instrText>TOC \o "1-3" \h \z \u</w:instrText>
        <w:fldChar w:fldCharType="separate"/>
        <w:fldChar w:fldCharType="end"/>
      </w:r>
    </w:p>
    <w:p>
      <w:r>
        <w:br w:type="page"/>
      </w:r>
    </w:p>
    <w:p>
      <w:pPr>
        <w:pStyle w:val="Heading1"/>
        <w:jc w:val="left"/>
      </w:pPr>
      <w:r>
        <w:rPr>
          <w:rFonts w:ascii="黑体" w:hAnsi="黑体" w:eastAsia="黑体"/>
          <w:b/>
          <w:color w:val="000000"/>
          <w:sz w:val="28"/>
        </w:rPr>
        <w:t>1  绪论</w:t>
      </w:r>
    </w:p>
    <w:p>
      <w:pPr>
        <w:pStyle w:val="Heading2"/>
        <w:jc w:val="left"/>
      </w:pPr>
      <w:r>
        <w:rPr>
          <w:rFonts w:ascii="黑体" w:hAnsi="黑体" w:eastAsia="黑体"/>
          <w:b/>
          <w:color w:val="000000"/>
          <w:sz w:val="24"/>
        </w:rPr>
        <w:t>1.1  研究背景与意义</w:t>
      </w:r>
    </w:p>
    <w:p>
      <w:pPr>
        <w:spacing w:line="360" w:lineRule="auto" w:after="120" w:before="0"/>
        <w:ind w:firstLine="420"/>
      </w:pPr>
      <w:r>
        <w:rPr>
          <w:rFonts w:ascii="宋体" w:hAnsi="宋体" w:eastAsia="宋体"/>
          <w:b w:val="0"/>
          <w:color w:val="000000"/>
          <w:sz w:val="21"/>
        </w:rPr>
        <w:t>医学影像（CT、MRI、X光、超声、病理切片等）是临床诊断和科研的核心数据来源。由于成像设备的物理限制、低剂量扫描需求、传输压缩以及存储量化误差，医学影像普遍存在噪声、伪影和对比度不足等问题。噪声不仅会降低医生的视觉判读体验，还会对后续的分割、配准、特征提取、深度学习分类等任务造成系统性偏差。</w:t>
      </w:r>
    </w:p>
    <w:p>
      <w:pPr>
        <w:spacing w:line="360" w:lineRule="auto" w:after="120" w:before="0"/>
        <w:ind w:firstLine="420"/>
      </w:pPr>
      <w:r>
        <w:rPr>
          <w:rFonts w:ascii="宋体" w:hAnsi="宋体" w:eastAsia="宋体"/>
          <w:b w:val="0"/>
          <w:color w:val="000000"/>
          <w:sz w:val="21"/>
        </w:rPr>
        <w:t>在降低辐射剂量或减少扫描时间的临床需求下，图像噪声水平往往进一步升高。为了获得可用的影像质量，研究高效、自适应且保持边缘纹理的去噪方法具有重要意义。此外，随着人工智能技术的发展，将领域算法（如VT-BM3D）与具备推理能力的LLM Agent结合，可以在保持可解释性的同时实现参数自适应和知识复用，降低对专业调参人员的依赖，提升系统的智能化水平。</w:t>
      </w:r>
    </w:p>
    <w:p>
      <w:pPr>
        <w:pStyle w:val="Heading2"/>
        <w:jc w:val="left"/>
      </w:pPr>
      <w:r>
        <w:rPr>
          <w:rFonts w:ascii="黑体" w:hAnsi="黑体" w:eastAsia="黑体"/>
          <w:b/>
          <w:color w:val="000000"/>
          <w:sz w:val="24"/>
        </w:rPr>
        <w:t>1.2  国内外研究现状</w:t>
      </w:r>
    </w:p>
    <w:p>
      <w:pPr>
        <w:spacing w:line="360" w:lineRule="auto" w:after="120" w:before="0"/>
        <w:ind w:firstLine="420"/>
      </w:pPr>
      <w:r>
        <w:rPr>
          <w:rFonts w:ascii="宋体" w:hAnsi="宋体" w:eastAsia="宋体"/>
          <w:b w:val="0"/>
          <w:color w:val="000000"/>
          <w:sz w:val="21"/>
        </w:rPr>
        <w:t>图像去噪是计算机视觉和医学图像处理的基础问题。传统方法包括空间域滤波（高斯滤波、中值滤波、双边滤波）、变换域滤波（小波、曲波）以及基于非局部相似性的BM3D、NLM等。BM3D通过块匹配与协同滤波取得了显著效果，但对结构化噪声和强边缘纹理区域的适应性仍有限。</w:t>
      </w:r>
    </w:p>
    <w:p>
      <w:pPr>
        <w:spacing w:line="360" w:lineRule="auto" w:after="120" w:before="0"/>
        <w:ind w:firstLine="420"/>
      </w:pPr>
      <w:r>
        <w:rPr>
          <w:rFonts w:ascii="宋体" w:hAnsi="宋体" w:eastAsia="宋体"/>
          <w:b w:val="0"/>
          <w:color w:val="000000"/>
          <w:sz w:val="21"/>
        </w:rPr>
        <w:t>近年来，基于深度学习的DnCNN、CBDNet、U-Net等方法在特定噪声水平和大数据集上表现出色，但需要大量训练数据，且泛化性受限于训练分布。VT-BM3D在BM3D基础上引入结构感知自适应阈值、边缘保护与纹理增强、噪声建模与自适应变换选择三个创新点，在不依赖大规模训练数据的情况下，在Set12与BSDS300数据集上取得了超过2 dB的PSNR提升。</w:t>
      </w:r>
    </w:p>
    <w:p>
      <w:pPr>
        <w:spacing w:line="360" w:lineRule="auto" w:after="120" w:before="0"/>
        <w:ind w:firstLine="420"/>
      </w:pPr>
      <w:r>
        <w:rPr>
          <w:rFonts w:ascii="宋体" w:hAnsi="宋体" w:eastAsia="宋体"/>
          <w:b w:val="0"/>
          <w:color w:val="000000"/>
          <w:sz w:val="21"/>
        </w:rPr>
        <w:t>在智能Agent方面，AutoGPT、LangChain、Semantic Kernel等框架展示了LLM在任务规划、工具调用和记忆管理上的潜力。在医学影像领域，已有研究将LLM用于报告生成、影像质控和参数推荐，但将LLM Agent与经典去噪算法深度融合、实现端到端调参与反思的系统仍较少。本系统填补了这一空白。</w:t>
      </w:r>
    </w:p>
    <w:p>
      <w:pPr>
        <w:pStyle w:val="Heading2"/>
        <w:jc w:val="left"/>
      </w:pPr>
      <w:r>
        <w:rPr>
          <w:rFonts w:ascii="黑体" w:hAnsi="黑体" w:eastAsia="黑体"/>
          <w:b/>
          <w:color w:val="000000"/>
          <w:sz w:val="24"/>
        </w:rPr>
        <w:t>1.3  主要工作与论文结构</w:t>
      </w:r>
    </w:p>
    <w:p>
      <w:pPr>
        <w:spacing w:line="360" w:lineRule="auto" w:after="120" w:before="0"/>
        <w:ind w:firstLine="420"/>
      </w:pPr>
      <w:r>
        <w:rPr>
          <w:rFonts w:ascii="宋体" w:hAnsi="宋体" w:eastAsia="宋体"/>
          <w:b w:val="0"/>
          <w:color w:val="000000"/>
          <w:sz w:val="21"/>
        </w:rPr>
        <w:t>本文的主要工作包括：（1）系统梳理VT-BM3D论文的结构感知协同滤波原理；（2）设计并实现多Agent协作框架，将感知、决策、执行、评估与协调有机集成；（3）基于FastAPI和Vue 3开发Web演示系统，支持SSE流式展示AI思考过程；（4）在标准数据集与医学影像上复现实验，验证Agent调参的有效性。</w:t>
      </w:r>
    </w:p>
    <w:p>
      <w:pPr>
        <w:spacing w:line="360" w:lineRule="auto" w:after="120" w:before="0"/>
        <w:ind w:firstLine="420"/>
      </w:pPr>
      <w:r>
        <w:rPr>
          <w:rFonts w:ascii="宋体" w:hAnsi="宋体" w:eastAsia="宋体"/>
          <w:b w:val="0"/>
          <w:color w:val="000000"/>
          <w:sz w:val="21"/>
        </w:rPr>
        <w:t>论文结构如下：第2章介绍相关开发技术和环境；第3章进行系统需求分析；第4章给出系统概要设计；第5章详细阐述Agent智能体设计与核心算法实现；第6章展示系统运行截图与关键代码；第7章给出系统测试结果与分析；第8章总结并展望未来工作。</w:t>
      </w:r>
    </w:p>
    <w:p>
      <w:r>
        <w:br w:type="page"/>
      </w:r>
    </w:p>
    <w:p>
      <w:pPr>
        <w:pStyle w:val="Heading1"/>
        <w:jc w:val="left"/>
      </w:pPr>
      <w:r>
        <w:rPr>
          <w:rFonts w:ascii="黑体" w:hAnsi="黑体" w:eastAsia="黑体"/>
          <w:b/>
          <w:color w:val="000000"/>
          <w:sz w:val="28"/>
        </w:rPr>
        <w:t>2  开发技术及开发环境</w:t>
      </w:r>
    </w:p>
    <w:p>
      <w:pPr>
        <w:pStyle w:val="Heading2"/>
        <w:jc w:val="left"/>
      </w:pPr>
      <w:r>
        <w:rPr>
          <w:rFonts w:ascii="黑体" w:hAnsi="黑体" w:eastAsia="黑体"/>
          <w:b/>
          <w:color w:val="000000"/>
          <w:sz w:val="24"/>
        </w:rPr>
        <w:t>2.1  关键技术概述</w:t>
      </w:r>
    </w:p>
    <w:p>
      <w:pPr>
        <w:spacing w:line="360" w:lineRule="auto" w:after="120" w:before="0"/>
        <w:ind w:firstLine="420"/>
      </w:pPr>
      <w:r>
        <w:rPr>
          <w:rFonts w:ascii="宋体" w:hAnsi="宋体" w:eastAsia="宋体"/>
          <w:b w:val="0"/>
          <w:color w:val="000000"/>
          <w:sz w:val="21"/>
        </w:rPr>
        <w:t>本系统的技术栈围绕Python科学计算、Web服务与现代前端可视化构建。核心算法层采用python-bm3d、scikit-image、scipy、OpenCV和PyTorch等库；Agent编排层采用自实现的职责分离架构；后端采用FastAPI提供REST与SSE接口；前端采用原生Vue 3单页应用结合ECharts实现交互式可视化；LLM调用使用Anthropic官方SDK，通过环境变量配置API Key、Base URL和模型。</w:t>
      </w:r>
    </w:p>
    <w:p>
      <w:pPr>
        <w:pStyle w:val="Heading2"/>
        <w:jc w:val="left"/>
      </w:pPr>
      <w:r>
        <w:rPr>
          <w:rFonts w:ascii="黑体" w:hAnsi="黑体" w:eastAsia="黑体"/>
          <w:b/>
          <w:color w:val="000000"/>
          <w:sz w:val="24"/>
        </w:rPr>
        <w:t>2.2  VT-BM3D算法原理</w:t>
      </w:r>
    </w:p>
    <w:p>
      <w:pPr>
        <w:spacing w:line="360" w:lineRule="auto" w:after="120" w:before="0"/>
        <w:ind w:firstLine="420"/>
      </w:pPr>
      <w:r>
        <w:rPr>
          <w:rFonts w:ascii="宋体" w:hAnsi="宋体" w:eastAsia="宋体"/>
          <w:b w:val="0"/>
          <w:color w:val="000000"/>
          <w:sz w:val="21"/>
        </w:rPr>
        <w:t>VT-BM3D（Versatile Tensor-aware Block-matching and 3D filtering）在经典BM3D两阶段框架中嵌入结构感知模块。首先通过局部方差V_norm和结构张量最大特征值λ_norm构造结构显著性图：</w:t>
      </w:r>
    </w:p>
    <w:p>
      <w:pPr>
        <w:spacing w:line="240" w:lineRule="auto" w:after="80"/>
        <w:ind w:firstLine="0" w:left="283"/>
      </w:pPr>
      <w:r>
        <w:rPr>
          <w:rFonts w:ascii="Consolas" w:hAnsi="Consolas" w:eastAsia="Consolas"/>
          <w:b w:val="0"/>
          <w:color w:val="1E1E1E"/>
          <w:sz w:val="16"/>
        </w:rPr>
        <w:t>C' = alpha * V_norm + beta * lambda_norm</w:t>
      </w:r>
    </w:p>
    <w:p>
      <w:pPr>
        <w:spacing w:line="360" w:lineRule="auto" w:after="120" w:before="0"/>
        <w:ind w:firstLine="420"/>
      </w:pPr>
      <w:r>
        <w:rPr>
          <w:rFonts w:ascii="宋体" w:hAnsi="宋体" w:eastAsia="宋体"/>
          <w:b w:val="0"/>
          <w:color w:val="000000"/>
          <w:sz w:val="21"/>
        </w:rPr>
        <w:t>其中alpha与beta分别取0.4和0.6作为经验值。随后通过幂律函数生成自适应匹配阈值：</w:t>
      </w:r>
    </w:p>
    <w:p>
      <w:pPr>
        <w:spacing w:line="240" w:lineRule="auto" w:after="80"/>
        <w:ind w:firstLine="0" w:left="283"/>
      </w:pPr>
      <w:r>
        <w:rPr>
          <w:rFonts w:ascii="Consolas" w:hAnsi="Consolas" w:eastAsia="Consolas"/>
          <w:b w:val="0"/>
          <w:color w:val="1E1E1E"/>
          <w:sz w:val="16"/>
        </w:rPr>
        <w:t>tau_adaptive = tau_min + (tau_max - tau_min) * (C') ** gamma</w:t>
      </w:r>
    </w:p>
    <w:p>
      <w:pPr>
        <w:spacing w:line="360" w:lineRule="auto" w:after="120" w:before="0"/>
        <w:ind w:firstLine="420"/>
      </w:pPr>
      <w:r>
        <w:rPr>
          <w:rFonts w:ascii="宋体" w:hAnsi="宋体" w:eastAsia="宋体"/>
          <w:b w:val="0"/>
          <w:color w:val="000000"/>
          <w:sz w:val="21"/>
        </w:rPr>
        <w:t>高显著性区域的阈值更大，允许更多相似块参与重建，从而保留边缘和纹理；低显著性区域阈值更小，块匹配更严格，有效抑制噪声。最终，系统并行执行强BM3D（sigma×1.15）与弱BM3D（sigma/texture_boost），并按显著性图S进行逐像素加权融合：</w:t>
      </w:r>
    </w:p>
    <w:p>
      <w:pPr>
        <w:spacing w:line="240" w:lineRule="auto" w:after="80"/>
        <w:ind w:firstLine="0" w:left="283"/>
      </w:pPr>
      <w:r>
        <w:rPr>
          <w:rFonts w:ascii="Consolas" w:hAnsi="Consolas" w:eastAsia="Consolas"/>
          <w:b w:val="0"/>
          <w:color w:val="1E1E1E"/>
          <w:sz w:val="16"/>
        </w:rPr>
        <w:t>fused = (1 - S) * strong + S * weak</w:t>
      </w:r>
    </w:p>
    <w:p>
      <w:pPr>
        <w:spacing w:line="360" w:lineRule="auto" w:after="120" w:before="0"/>
        <w:ind w:firstLine="420"/>
      </w:pPr>
      <w:r>
        <w:rPr>
          <w:rFonts w:ascii="宋体" w:hAnsi="宋体" w:eastAsia="宋体"/>
          <w:b w:val="0"/>
          <w:color w:val="000000"/>
          <w:sz w:val="21"/>
        </w:rPr>
        <w:t>此外，针对高频对角条纹噪声g3和周期网格噪声g5，论文分别设置超参数组合，并在基础估计阶段使用离散正弦变换（DST）更好地稀疏化周期干扰，最终估计阶段恢复DCT以保证重建质量。</w:t>
      </w:r>
    </w:p>
    <w:p>
      <w:pPr>
        <w:pStyle w:val="Heading2"/>
        <w:jc w:val="left"/>
      </w:pPr>
      <w:r>
        <w:rPr>
          <w:rFonts w:ascii="黑体" w:hAnsi="黑体" w:eastAsia="黑体"/>
          <w:b/>
          <w:color w:val="000000"/>
          <w:sz w:val="24"/>
        </w:rPr>
        <w:t>2.3  多Agent系统技术</w:t>
      </w:r>
    </w:p>
    <w:p>
      <w:pPr>
        <w:spacing w:line="360" w:lineRule="auto" w:after="120" w:before="0"/>
        <w:ind w:firstLine="420"/>
      </w:pPr>
      <w:r>
        <w:rPr>
          <w:rFonts w:ascii="宋体" w:hAnsi="宋体" w:eastAsia="宋体"/>
          <w:b w:val="0"/>
          <w:color w:val="000000"/>
          <w:sz w:val="21"/>
        </w:rPr>
        <w:t>多Agent系统由多个自治、协作的软件实体组成，每个Agent拥有局部感知、决策与执行能力。本系统借鉴ReAct与Plan-and-Solve范式，将去噪任务拆解为可观测状态、工具调用和评估反馈。LLM作为推理引擎，通过Prompt工程注入领域知识与历史案例，输出可解析的JSON参数。系统同时维护技能知识库（Markdown格式，便于人工审阅与版本控制）和案例记忆库（JSON格式），实现知识复用与渐进式学习。</w:t>
      </w:r>
    </w:p>
    <w:p>
      <w:pPr>
        <w:pStyle w:val="Heading2"/>
        <w:jc w:val="left"/>
      </w:pPr>
      <w:r>
        <w:rPr>
          <w:rFonts w:ascii="黑体" w:hAnsi="黑体" w:eastAsia="黑体"/>
          <w:b/>
          <w:color w:val="000000"/>
          <w:sz w:val="24"/>
        </w:rPr>
        <w:t>2.4  开发环境</w:t>
      </w:r>
    </w:p>
    <w:tbl>
      <w:tblPr>
        <w:tblStyle w:val="TableGrid"/>
        <w:tblW w:type="auto" w:w="0"/>
        <w:tblLook w:firstColumn="1" w:firstRow="1" w:lastColumn="0" w:lastRow="0" w:noHBand="0" w:noVBand="1" w:val="04A0"/>
      </w:tblPr>
      <w:tblGrid>
        <w:gridCol w:w="4156"/>
        <w:gridCol w:w="4156"/>
      </w:tblGrid>
      <w:tr>
        <w:tc>
          <w:tcPr>
            <w:tcW w:type="dxa" w:w="4156"/>
          </w:tcPr>
          <w:p>
            <w:pPr>
              <w:jc w:val="center"/>
            </w:pPr>
            <w:r>
              <w:rPr>
                <w:rFonts w:ascii="黑体" w:hAnsi="黑体" w:eastAsia="黑体"/>
                <w:b/>
                <w:color w:val="000000"/>
                <w:sz w:val="20"/>
              </w:rPr>
              <w:t>组件</w:t>
            </w:r>
          </w:p>
        </w:tc>
        <w:tc>
          <w:tcPr>
            <w:tcW w:type="dxa" w:w="4156"/>
          </w:tcPr>
          <w:p>
            <w:pPr>
              <w:jc w:val="center"/>
            </w:pPr>
            <w:r>
              <w:rPr>
                <w:rFonts w:ascii="黑体" w:hAnsi="黑体" w:eastAsia="黑体"/>
                <w:b/>
                <w:color w:val="000000"/>
                <w:sz w:val="20"/>
              </w:rPr>
              <w:t>版本/说明</w:t>
            </w:r>
          </w:p>
        </w:tc>
      </w:tr>
      <w:tr>
        <w:tc>
          <w:tcPr>
            <w:tcW w:type="dxa" w:w="4156"/>
          </w:tcPr>
          <w:p>
            <w:pPr>
              <w:jc w:val="center"/>
            </w:pPr>
            <w:r>
              <w:rPr>
                <w:rFonts w:ascii="宋体" w:hAnsi="宋体" w:eastAsia="宋体"/>
                <w:b w:val="0"/>
                <w:color w:val="000000"/>
                <w:sz w:val="20"/>
              </w:rPr>
              <w:t>操作系统</w:t>
            </w:r>
          </w:p>
        </w:tc>
        <w:tc>
          <w:tcPr>
            <w:tcW w:type="dxa" w:w="4156"/>
          </w:tcPr>
          <w:p>
            <w:pPr>
              <w:jc w:val="center"/>
            </w:pPr>
            <w:r>
              <w:rPr>
                <w:rFonts w:ascii="宋体" w:hAnsi="宋体" w:eastAsia="宋体"/>
                <w:b w:val="0"/>
                <w:color w:val="000000"/>
                <w:sz w:val="20"/>
              </w:rPr>
              <w:t>Ubuntu 22.04 LTS</w:t>
            </w:r>
          </w:p>
        </w:tc>
      </w:tr>
      <w:tr>
        <w:tc>
          <w:tcPr>
            <w:tcW w:type="dxa" w:w="4156"/>
          </w:tcPr>
          <w:p>
            <w:pPr>
              <w:jc w:val="center"/>
            </w:pPr>
            <w:r>
              <w:rPr>
                <w:rFonts w:ascii="宋体" w:hAnsi="宋体" w:eastAsia="宋体"/>
                <w:b w:val="0"/>
                <w:color w:val="000000"/>
                <w:sz w:val="20"/>
              </w:rPr>
              <w:t>Python</w:t>
            </w:r>
          </w:p>
        </w:tc>
        <w:tc>
          <w:tcPr>
            <w:tcW w:type="dxa" w:w="4156"/>
          </w:tcPr>
          <w:p>
            <w:pPr>
              <w:jc w:val="center"/>
            </w:pPr>
            <w:r>
              <w:rPr>
                <w:rFonts w:ascii="宋体" w:hAnsi="宋体" w:eastAsia="宋体"/>
                <w:b w:val="0"/>
                <w:color w:val="000000"/>
                <w:sz w:val="20"/>
              </w:rPr>
              <w:t>3.11+</w:t>
            </w:r>
          </w:p>
        </w:tc>
      </w:tr>
      <w:tr>
        <w:tc>
          <w:tcPr>
            <w:tcW w:type="dxa" w:w="4156"/>
          </w:tcPr>
          <w:p>
            <w:pPr>
              <w:jc w:val="center"/>
            </w:pPr>
            <w:r>
              <w:rPr>
                <w:rFonts w:ascii="宋体" w:hAnsi="宋体" w:eastAsia="宋体"/>
                <w:b w:val="0"/>
                <w:color w:val="000000"/>
                <w:sz w:val="20"/>
              </w:rPr>
              <w:t>后端框架</w:t>
            </w:r>
          </w:p>
        </w:tc>
        <w:tc>
          <w:tcPr>
            <w:tcW w:type="dxa" w:w="4156"/>
          </w:tcPr>
          <w:p>
            <w:pPr>
              <w:jc w:val="center"/>
            </w:pPr>
            <w:r>
              <w:rPr>
                <w:rFonts w:ascii="宋体" w:hAnsi="宋体" w:eastAsia="宋体"/>
                <w:b w:val="0"/>
                <w:color w:val="000000"/>
                <w:sz w:val="20"/>
              </w:rPr>
              <w:t>FastAPI + Uvicorn</w:t>
            </w:r>
          </w:p>
        </w:tc>
      </w:tr>
      <w:tr>
        <w:tc>
          <w:tcPr>
            <w:tcW w:type="dxa" w:w="4156"/>
          </w:tcPr>
          <w:p>
            <w:pPr>
              <w:jc w:val="center"/>
            </w:pPr>
            <w:r>
              <w:rPr>
                <w:rFonts w:ascii="宋体" w:hAnsi="宋体" w:eastAsia="宋体"/>
                <w:b w:val="0"/>
                <w:color w:val="000000"/>
                <w:sz w:val="20"/>
              </w:rPr>
              <w:t>前端框架</w:t>
            </w:r>
          </w:p>
        </w:tc>
        <w:tc>
          <w:tcPr>
            <w:tcW w:type="dxa" w:w="4156"/>
          </w:tcPr>
          <w:p>
            <w:pPr>
              <w:jc w:val="center"/>
            </w:pPr>
            <w:r>
              <w:rPr>
                <w:rFonts w:ascii="宋体" w:hAnsi="宋体" w:eastAsia="宋体"/>
                <w:b w:val="0"/>
                <w:color w:val="000000"/>
                <w:sz w:val="20"/>
              </w:rPr>
              <w:t>Vue 3（单文件index.html）</w:t>
            </w:r>
          </w:p>
        </w:tc>
      </w:tr>
      <w:tr>
        <w:tc>
          <w:tcPr>
            <w:tcW w:type="dxa" w:w="4156"/>
          </w:tcPr>
          <w:p>
            <w:pPr>
              <w:jc w:val="center"/>
            </w:pPr>
            <w:r>
              <w:rPr>
                <w:rFonts w:ascii="宋体" w:hAnsi="宋体" w:eastAsia="宋体"/>
                <w:b w:val="0"/>
                <w:color w:val="000000"/>
                <w:sz w:val="20"/>
              </w:rPr>
              <w:t>可视化</w:t>
            </w:r>
          </w:p>
        </w:tc>
        <w:tc>
          <w:tcPr>
            <w:tcW w:type="dxa" w:w="4156"/>
          </w:tcPr>
          <w:p>
            <w:pPr>
              <w:jc w:val="center"/>
            </w:pPr>
            <w:r>
              <w:rPr>
                <w:rFonts w:ascii="宋体" w:hAnsi="宋体" w:eastAsia="宋体"/>
                <w:b w:val="0"/>
                <w:color w:val="000000"/>
                <w:sz w:val="20"/>
              </w:rPr>
              <w:t>ECharts 5</w:t>
            </w:r>
          </w:p>
        </w:tc>
      </w:tr>
      <w:tr>
        <w:tc>
          <w:tcPr>
            <w:tcW w:type="dxa" w:w="4156"/>
          </w:tcPr>
          <w:p>
            <w:pPr>
              <w:jc w:val="center"/>
            </w:pPr>
            <w:r>
              <w:rPr>
                <w:rFonts w:ascii="宋体" w:hAnsi="宋体" w:eastAsia="宋体"/>
                <w:b w:val="0"/>
                <w:color w:val="000000"/>
                <w:sz w:val="20"/>
              </w:rPr>
              <w:t>去噪库</w:t>
            </w:r>
          </w:p>
        </w:tc>
        <w:tc>
          <w:tcPr>
            <w:tcW w:type="dxa" w:w="4156"/>
          </w:tcPr>
          <w:p>
            <w:pPr>
              <w:jc w:val="center"/>
            </w:pPr>
            <w:r>
              <w:rPr>
                <w:rFonts w:ascii="宋体" w:hAnsi="宋体" w:eastAsia="宋体"/>
                <w:b w:val="0"/>
                <w:color w:val="000000"/>
                <w:sz w:val="20"/>
              </w:rPr>
              <w:t>bm3d, scikit-image, scipy</w:t>
            </w:r>
          </w:p>
        </w:tc>
      </w:tr>
      <w:tr>
        <w:tc>
          <w:tcPr>
            <w:tcW w:type="dxa" w:w="4156"/>
          </w:tcPr>
          <w:p>
            <w:pPr>
              <w:jc w:val="center"/>
            </w:pPr>
            <w:r>
              <w:rPr>
                <w:rFonts w:ascii="宋体" w:hAnsi="宋体" w:eastAsia="宋体"/>
                <w:b w:val="0"/>
                <w:color w:val="000000"/>
                <w:sz w:val="20"/>
              </w:rPr>
              <w:t>LLM SDK</w:t>
            </w:r>
          </w:p>
        </w:tc>
        <w:tc>
          <w:tcPr>
            <w:tcW w:type="dxa" w:w="4156"/>
          </w:tcPr>
          <w:p>
            <w:pPr>
              <w:jc w:val="center"/>
            </w:pPr>
            <w:r>
              <w:rPr>
                <w:rFonts w:ascii="宋体" w:hAnsi="宋体" w:eastAsia="宋体"/>
                <w:b w:val="0"/>
                <w:color w:val="000000"/>
                <w:sz w:val="20"/>
              </w:rPr>
              <w:t>anthropic &gt;= 0.30</w:t>
            </w:r>
          </w:p>
        </w:tc>
      </w:tr>
      <w:tr>
        <w:tc>
          <w:tcPr>
            <w:tcW w:type="dxa" w:w="4156"/>
          </w:tcPr>
          <w:p>
            <w:pPr>
              <w:jc w:val="center"/>
            </w:pPr>
            <w:r>
              <w:rPr>
                <w:rFonts w:ascii="宋体" w:hAnsi="宋体" w:eastAsia="宋体"/>
                <w:b w:val="0"/>
                <w:color w:val="000000"/>
                <w:sz w:val="20"/>
              </w:rPr>
              <w:t>文档生成</w:t>
            </w:r>
          </w:p>
        </w:tc>
        <w:tc>
          <w:tcPr>
            <w:tcW w:type="dxa" w:w="4156"/>
          </w:tcPr>
          <w:p>
            <w:pPr>
              <w:jc w:val="center"/>
            </w:pPr>
            <w:r>
              <w:rPr>
                <w:rFonts w:ascii="宋体" w:hAnsi="宋体" w:eastAsia="宋体"/>
                <w:b w:val="0"/>
                <w:color w:val="000000"/>
                <w:sz w:val="20"/>
              </w:rPr>
              <w:t>python-docx</w:t>
            </w:r>
          </w:p>
        </w:tc>
      </w:tr>
      <w:tr>
        <w:tc>
          <w:tcPr>
            <w:tcW w:type="dxa" w:w="4156"/>
          </w:tcPr>
          <w:p>
            <w:pPr>
              <w:jc w:val="center"/>
            </w:pPr>
            <w:r>
              <w:rPr>
                <w:rFonts w:ascii="宋体" w:hAnsi="宋体" w:eastAsia="宋体"/>
                <w:b w:val="0"/>
                <w:color w:val="000000"/>
                <w:sz w:val="20"/>
              </w:rPr>
              <w:t>运行方式</w:t>
            </w:r>
          </w:p>
        </w:tc>
        <w:tc>
          <w:tcPr>
            <w:tcW w:type="dxa" w:w="4156"/>
          </w:tcPr>
          <w:p>
            <w:pPr>
              <w:jc w:val="center"/>
            </w:pPr>
            <w:r>
              <w:rPr>
                <w:rFonts w:ascii="宋体" w:hAnsi="宋体" w:eastAsia="宋体"/>
                <w:b w:val="0"/>
                <w:color w:val="000000"/>
                <w:sz w:val="20"/>
              </w:rPr>
              <w:t>python server.py</w:t>
            </w:r>
          </w:p>
        </w:tc>
      </w:tr>
    </w:tbl>
    <w:p/>
    <w:p>
      <w:r>
        <w:br w:type="page"/>
      </w:r>
    </w:p>
    <w:p>
      <w:pPr>
        <w:pStyle w:val="Heading1"/>
        <w:jc w:val="left"/>
      </w:pPr>
      <w:r>
        <w:rPr>
          <w:rFonts w:ascii="黑体" w:hAnsi="黑体" w:eastAsia="黑体"/>
          <w:b/>
          <w:color w:val="000000"/>
          <w:sz w:val="28"/>
        </w:rPr>
        <w:t>3  系统分析</w:t>
      </w:r>
    </w:p>
    <w:p>
      <w:pPr>
        <w:pStyle w:val="Heading2"/>
        <w:jc w:val="left"/>
      </w:pPr>
      <w:r>
        <w:rPr>
          <w:rFonts w:ascii="黑体" w:hAnsi="黑体" w:eastAsia="黑体"/>
          <w:b/>
          <w:color w:val="000000"/>
          <w:sz w:val="24"/>
        </w:rPr>
        <w:t>3.1  功能需求</w:t>
      </w:r>
    </w:p>
    <w:p>
      <w:pPr>
        <w:spacing w:line="360" w:lineRule="auto" w:after="120" w:before="0"/>
        <w:ind w:firstLine="420"/>
      </w:pPr>
      <w:r>
        <w:rPr>
          <w:rFonts w:ascii="宋体" w:hAnsi="宋体" w:eastAsia="宋体"/>
          <w:b w:val="0"/>
          <w:color w:val="000000"/>
          <w:sz w:val="21"/>
        </w:rPr>
        <w:t>通过需求调研，本系统需要满足以下功能：用户注册、登录与重置密码（含邮箱验证码模块展示）；选择内置医学影像示例或上传自定义图片并模拟高斯噪声；执行标准VT-BM3D去噪或AI智能处理；实时展示感知分析结果、AI思考流、调参方案、执行过程与质量指标；提供智能对话问答，支持VT-BM3D论文解释与参数调参知识；复现论文Set12/BSDS300结果、展示消融实验与Agent调参对比；展示VT-BM3D架构与创新点；监控API使用统计、模型选择与Token限额。</w:t>
      </w:r>
    </w:p>
    <w:p>
      <w:pPr>
        <w:pStyle w:val="Heading2"/>
        <w:jc w:val="left"/>
      </w:pPr>
      <w:r>
        <w:rPr>
          <w:rFonts w:ascii="黑体" w:hAnsi="黑体" w:eastAsia="黑体"/>
          <w:b/>
          <w:color w:val="000000"/>
          <w:sz w:val="24"/>
        </w:rPr>
        <w:t>3.2  非功能需求</w:t>
      </w:r>
    </w:p>
    <w:tbl>
      <w:tblPr>
        <w:tblStyle w:val="TableGrid"/>
        <w:tblW w:type="auto" w:w="0"/>
        <w:tblLook w:firstColumn="1" w:firstRow="1" w:lastColumn="0" w:lastRow="0" w:noHBand="0" w:noVBand="1" w:val="04A0"/>
      </w:tblPr>
      <w:tblGrid>
        <w:gridCol w:w="4156"/>
        <w:gridCol w:w="4156"/>
      </w:tblGrid>
      <w:tr>
        <w:tc>
          <w:tcPr>
            <w:tcW w:type="dxa" w:w="4156"/>
          </w:tcPr>
          <w:p>
            <w:pPr>
              <w:jc w:val="center"/>
            </w:pPr>
            <w:r>
              <w:rPr>
                <w:rFonts w:ascii="黑体" w:hAnsi="黑体" w:eastAsia="黑体"/>
                <w:b/>
                <w:color w:val="000000"/>
                <w:sz w:val="20"/>
              </w:rPr>
              <w:t>非功能需求</w:t>
            </w:r>
          </w:p>
        </w:tc>
        <w:tc>
          <w:tcPr>
            <w:tcW w:type="dxa" w:w="4156"/>
          </w:tcPr>
          <w:p>
            <w:pPr>
              <w:jc w:val="center"/>
            </w:pPr>
            <w:r>
              <w:rPr>
                <w:rFonts w:ascii="黑体" w:hAnsi="黑体" w:eastAsia="黑体"/>
                <w:b/>
                <w:color w:val="000000"/>
                <w:sz w:val="20"/>
              </w:rPr>
              <w:t>说明</w:t>
            </w:r>
          </w:p>
        </w:tc>
      </w:tr>
      <w:tr>
        <w:tc>
          <w:tcPr>
            <w:tcW w:type="dxa" w:w="4156"/>
          </w:tcPr>
          <w:p>
            <w:pPr>
              <w:jc w:val="center"/>
            </w:pPr>
            <w:r>
              <w:rPr>
                <w:rFonts w:ascii="宋体" w:hAnsi="宋体" w:eastAsia="宋体"/>
                <w:b w:val="0"/>
                <w:color w:val="000000"/>
                <w:sz w:val="20"/>
              </w:rPr>
              <w:t>实时性</w:t>
            </w:r>
          </w:p>
        </w:tc>
        <w:tc>
          <w:tcPr>
            <w:tcW w:type="dxa" w:w="4156"/>
          </w:tcPr>
          <w:p>
            <w:pPr>
              <w:jc w:val="center"/>
            </w:pPr>
            <w:r>
              <w:rPr>
                <w:rFonts w:ascii="宋体" w:hAnsi="宋体" w:eastAsia="宋体"/>
                <w:b w:val="0"/>
                <w:color w:val="000000"/>
                <w:sz w:val="20"/>
              </w:rPr>
              <w:t>单次AI处理约25-35秒，SSE流式反馈保证前端可感知进度</w:t>
            </w:r>
          </w:p>
        </w:tc>
      </w:tr>
      <w:tr>
        <w:tc>
          <w:tcPr>
            <w:tcW w:type="dxa" w:w="4156"/>
          </w:tcPr>
          <w:p>
            <w:pPr>
              <w:jc w:val="center"/>
            </w:pPr>
            <w:r>
              <w:rPr>
                <w:rFonts w:ascii="宋体" w:hAnsi="宋体" w:eastAsia="宋体"/>
                <w:b w:val="0"/>
                <w:color w:val="000000"/>
                <w:sz w:val="20"/>
              </w:rPr>
              <w:t>可扩展性</w:t>
            </w:r>
          </w:p>
        </w:tc>
        <w:tc>
          <w:tcPr>
            <w:tcW w:type="dxa" w:w="4156"/>
          </w:tcPr>
          <w:p>
            <w:pPr>
              <w:jc w:val="center"/>
            </w:pPr>
            <w:r>
              <w:rPr>
                <w:rFonts w:ascii="宋体" w:hAnsi="宋体" w:eastAsia="宋体"/>
                <w:b w:val="0"/>
                <w:color w:val="000000"/>
                <w:sz w:val="20"/>
              </w:rPr>
              <w:t>工具注册表允许新增去噪、增强与评估工具</w:t>
            </w:r>
          </w:p>
        </w:tc>
      </w:tr>
      <w:tr>
        <w:tc>
          <w:tcPr>
            <w:tcW w:type="dxa" w:w="4156"/>
          </w:tcPr>
          <w:p>
            <w:pPr>
              <w:jc w:val="center"/>
            </w:pPr>
            <w:r>
              <w:rPr>
                <w:rFonts w:ascii="宋体" w:hAnsi="宋体" w:eastAsia="宋体"/>
                <w:b w:val="0"/>
                <w:color w:val="000000"/>
                <w:sz w:val="20"/>
              </w:rPr>
              <w:t>安全性</w:t>
            </w:r>
          </w:p>
        </w:tc>
        <w:tc>
          <w:tcPr>
            <w:tcW w:type="dxa" w:w="4156"/>
          </w:tcPr>
          <w:p>
            <w:pPr>
              <w:jc w:val="center"/>
            </w:pPr>
            <w:r>
              <w:rPr>
                <w:rFonts w:ascii="宋体" w:hAnsi="宋体" w:eastAsia="宋体"/>
                <w:b w:val="0"/>
                <w:color w:val="000000"/>
                <w:sz w:val="20"/>
              </w:rPr>
              <w:t>JWT Token认证，API Key仅本地.env存储，不进入版本库</w:t>
            </w:r>
          </w:p>
        </w:tc>
      </w:tr>
      <w:tr>
        <w:tc>
          <w:tcPr>
            <w:tcW w:type="dxa" w:w="4156"/>
          </w:tcPr>
          <w:p>
            <w:pPr>
              <w:jc w:val="center"/>
            </w:pPr>
            <w:r>
              <w:rPr>
                <w:rFonts w:ascii="宋体" w:hAnsi="宋体" w:eastAsia="宋体"/>
                <w:b w:val="0"/>
                <w:color w:val="000000"/>
                <w:sz w:val="20"/>
              </w:rPr>
              <w:t>可维护性</w:t>
            </w:r>
          </w:p>
        </w:tc>
        <w:tc>
          <w:tcPr>
            <w:tcW w:type="dxa" w:w="4156"/>
          </w:tcPr>
          <w:p>
            <w:pPr>
              <w:jc w:val="center"/>
            </w:pPr>
            <w:r>
              <w:rPr>
                <w:rFonts w:ascii="宋体" w:hAnsi="宋体" w:eastAsia="宋体"/>
                <w:b w:val="0"/>
                <w:color w:val="000000"/>
                <w:sz w:val="20"/>
              </w:rPr>
              <w:t>技能库与案例记忆独立为Markdown/JSON文件，便于更新</w:t>
            </w:r>
          </w:p>
        </w:tc>
      </w:tr>
      <w:tr>
        <w:tc>
          <w:tcPr>
            <w:tcW w:type="dxa" w:w="4156"/>
          </w:tcPr>
          <w:p>
            <w:pPr>
              <w:jc w:val="center"/>
            </w:pPr>
            <w:r>
              <w:rPr>
                <w:rFonts w:ascii="宋体" w:hAnsi="宋体" w:eastAsia="宋体"/>
                <w:b w:val="0"/>
                <w:color w:val="000000"/>
                <w:sz w:val="20"/>
              </w:rPr>
              <w:t>可控成本</w:t>
            </w:r>
          </w:p>
        </w:tc>
        <w:tc>
          <w:tcPr>
            <w:tcW w:type="dxa" w:w="4156"/>
          </w:tcPr>
          <w:p>
            <w:pPr>
              <w:jc w:val="center"/>
            </w:pPr>
            <w:r>
              <w:rPr>
                <w:rFonts w:ascii="宋体" w:hAnsi="宋体" w:eastAsia="宋体"/>
                <w:b w:val="0"/>
                <w:color w:val="000000"/>
                <w:sz w:val="20"/>
              </w:rPr>
              <w:t>API监控页提供Token、调用次数与费用统计，支持模型与限额配置</w:t>
            </w:r>
          </w:p>
        </w:tc>
      </w:tr>
    </w:tbl>
    <w:p/>
    <w:p>
      <w:pPr>
        <w:pStyle w:val="Heading2"/>
        <w:jc w:val="left"/>
      </w:pPr>
      <w:r>
        <w:rPr>
          <w:rFonts w:ascii="黑体" w:hAnsi="黑体" w:eastAsia="黑体"/>
          <w:b/>
          <w:color w:val="000000"/>
          <w:sz w:val="24"/>
        </w:rPr>
        <w:t>3.3  用户角色与用例</w:t>
      </w:r>
    </w:p>
    <w:p>
      <w:pPr>
        <w:spacing w:line="360" w:lineRule="auto" w:after="120" w:before="0"/>
        <w:ind w:firstLine="420"/>
      </w:pPr>
      <w:r>
        <w:rPr>
          <w:rFonts w:ascii="宋体" w:hAnsi="宋体" w:eastAsia="宋体"/>
          <w:b w:val="0"/>
          <w:color w:val="000000"/>
          <w:sz w:val="21"/>
        </w:rPr>
        <w:t>系统主要面向两类用户：普通用户（医学影像处理使用者）和管理员。普通用户可登录、选择去噪示例、查看结果与对话问答；管理员 additionally 可查看API监控与全局调用记录。默认管理员账号为admin/123456。</w:t>
      </w:r>
    </w:p>
    <w:p>
      <w:pPr>
        <w:spacing w:after="80"/>
        <w:jc w:val="center"/>
      </w:pPr>
      <w:r>
        <w:drawing>
          <wp:inline xmlns:a="http://schemas.openxmlformats.org/drawingml/2006/main" xmlns:pic="http://schemas.openxmlformats.org/drawingml/2006/picture">
            <wp:extent cx="5029200" cy="6106886"/>
            <wp:docPr id="1" name="Picture 1"/>
            <wp:cNvGraphicFramePr>
              <a:graphicFrameLocks noChangeAspect="1"/>
            </wp:cNvGraphicFramePr>
            <a:graphic>
              <a:graphicData uri="http://schemas.openxmlformats.org/drawingml/2006/picture">
                <pic:pic>
                  <pic:nvPicPr>
                    <pic:cNvPr id="0" name="agent_workflow.png"/>
                    <pic:cNvPicPr/>
                  </pic:nvPicPr>
                  <pic:blipFill>
                    <a:blip r:embed="rId9"/>
                    <a:stretch>
                      <a:fillRect/>
                    </a:stretch>
                  </pic:blipFill>
                  <pic:spPr>
                    <a:xfrm>
                      <a:off x="0" y="0"/>
                      <a:ext cx="5029200" cy="6106886"/>
                    </a:xfrm>
                    <a:prstGeom prst="rect"/>
                  </pic:spPr>
                </pic:pic>
              </a:graphicData>
            </a:graphic>
          </wp:inline>
        </w:drawing>
      </w:r>
    </w:p>
    <w:p>
      <w:pPr>
        <w:spacing w:after="160"/>
        <w:jc w:val="center"/>
      </w:pPr>
      <w:r>
        <w:rPr>
          <w:rFonts w:ascii="宋体" w:hAnsi="宋体" w:eastAsia="宋体"/>
          <w:b w:val="0"/>
          <w:color w:val="505050"/>
          <w:sz w:val="20"/>
        </w:rPr>
        <w:t>图3-1  MedDenoise-Agent整体处理流程</w:t>
      </w:r>
    </w:p>
    <w:p>
      <w:r>
        <w:br w:type="page"/>
      </w:r>
    </w:p>
    <w:p>
      <w:pPr>
        <w:pStyle w:val="Heading1"/>
        <w:jc w:val="left"/>
      </w:pPr>
      <w:r>
        <w:rPr>
          <w:rFonts w:ascii="黑体" w:hAnsi="黑体" w:eastAsia="黑体"/>
          <w:b/>
          <w:color w:val="000000"/>
          <w:sz w:val="28"/>
        </w:rPr>
        <w:t>4  系统概要设计</w:t>
      </w:r>
    </w:p>
    <w:p>
      <w:pPr>
        <w:pStyle w:val="Heading2"/>
        <w:jc w:val="left"/>
      </w:pPr>
      <w:r>
        <w:rPr>
          <w:rFonts w:ascii="黑体" w:hAnsi="黑体" w:eastAsia="黑体"/>
          <w:b/>
          <w:color w:val="000000"/>
          <w:sz w:val="24"/>
        </w:rPr>
        <w:t>4.1  总体架构</w:t>
      </w:r>
    </w:p>
    <w:p>
      <w:pPr>
        <w:spacing w:line="360" w:lineRule="auto" w:after="120" w:before="0"/>
        <w:ind w:firstLine="420"/>
      </w:pPr>
      <w:r>
        <w:rPr>
          <w:rFonts w:ascii="宋体" w:hAnsi="宋体" w:eastAsia="宋体"/>
          <w:b w:val="0"/>
          <w:color w:val="000000"/>
          <w:sz w:val="21"/>
        </w:rPr>
        <w:t>系统采用前后端分离架构。前端为Vue 3单页应用，负责用户交互、数据绑定与可视化；后端由FastAPI提供静态资源、业务API和SSE流式接口；算法与Agent层运行在Python进程内，直接调用VT-BM3D、BM3D、DnCNN等去噪工具及PSNR/SSIM等评估指标。</w:t>
      </w:r>
    </w:p>
    <w:p>
      <w:pPr>
        <w:spacing w:after="80"/>
        <w:jc w:val="center"/>
      </w:pPr>
      <w:r>
        <w:drawing>
          <wp:inline xmlns:a="http://schemas.openxmlformats.org/drawingml/2006/main" xmlns:pic="http://schemas.openxmlformats.org/drawingml/2006/picture">
            <wp:extent cx="5029200" cy="3632200"/>
            <wp:docPr id="2" name="Picture 2"/>
            <wp:cNvGraphicFramePr>
              <a:graphicFrameLocks noChangeAspect="1"/>
            </wp:cNvGraphicFramePr>
            <a:graphic>
              <a:graphicData uri="http://schemas.openxmlformats.org/drawingml/2006/picture">
                <pic:pic>
                  <pic:nvPicPr>
                    <pic:cNvPr id="0" name="agent_architecture.png"/>
                    <pic:cNvPicPr/>
                  </pic:nvPicPr>
                  <pic:blipFill>
                    <a:blip r:embed="rId10"/>
                    <a:stretch>
                      <a:fillRect/>
                    </a:stretch>
                  </pic:blipFill>
                  <pic:spPr>
                    <a:xfrm>
                      <a:off x="0" y="0"/>
                      <a:ext cx="5029200" cy="3632200"/>
                    </a:xfrm>
                    <a:prstGeom prst="rect"/>
                  </pic:spPr>
                </pic:pic>
              </a:graphicData>
            </a:graphic>
          </wp:inline>
        </w:drawing>
      </w:r>
    </w:p>
    <w:p>
      <w:pPr>
        <w:spacing w:after="160"/>
        <w:jc w:val="center"/>
      </w:pPr>
      <w:r>
        <w:rPr>
          <w:rFonts w:ascii="宋体" w:hAnsi="宋体" w:eastAsia="宋体"/>
          <w:b w:val="0"/>
          <w:color w:val="505050"/>
          <w:sz w:val="20"/>
        </w:rPr>
        <w:t>图4-1  多Agent协作架构</w:t>
      </w:r>
    </w:p>
    <w:p>
      <w:pPr>
        <w:pStyle w:val="Heading2"/>
        <w:jc w:val="left"/>
      </w:pPr>
      <w:r>
        <w:rPr>
          <w:rFonts w:ascii="黑体" w:hAnsi="黑体" w:eastAsia="黑体"/>
          <w:b/>
          <w:color w:val="000000"/>
          <w:sz w:val="24"/>
        </w:rPr>
        <w:t>4.2  功能模块划分</w:t>
      </w:r>
    </w:p>
    <w:tbl>
      <w:tblPr>
        <w:tblStyle w:val="TableGrid"/>
        <w:tblW w:type="auto" w:w="0"/>
        <w:tblLook w:firstColumn="1" w:firstRow="1" w:lastColumn="0" w:lastRow="0" w:noHBand="0" w:noVBand="1" w:val="04A0"/>
      </w:tblPr>
      <w:tblGrid>
        <w:gridCol w:w="2771"/>
        <w:gridCol w:w="2771"/>
        <w:gridCol w:w="2771"/>
      </w:tblGrid>
      <w:tr>
        <w:tc>
          <w:tcPr>
            <w:tcW w:type="dxa" w:w="2771"/>
          </w:tcPr>
          <w:p>
            <w:pPr>
              <w:jc w:val="center"/>
            </w:pPr>
            <w:r>
              <w:rPr>
                <w:rFonts w:ascii="黑体" w:hAnsi="黑体" w:eastAsia="黑体"/>
                <w:b/>
                <w:color w:val="000000"/>
                <w:sz w:val="20"/>
              </w:rPr>
              <w:t>模块</w:t>
            </w:r>
          </w:p>
        </w:tc>
        <w:tc>
          <w:tcPr>
            <w:tcW w:type="dxa" w:w="2771"/>
          </w:tcPr>
          <w:p>
            <w:pPr>
              <w:jc w:val="center"/>
            </w:pPr>
            <w:r>
              <w:rPr>
                <w:rFonts w:ascii="黑体" w:hAnsi="黑体" w:eastAsia="黑体"/>
                <w:b/>
                <w:color w:val="000000"/>
                <w:sz w:val="20"/>
              </w:rPr>
              <w:t>职责</w:t>
            </w:r>
          </w:p>
        </w:tc>
        <w:tc>
          <w:tcPr>
            <w:tcW w:type="dxa" w:w="2771"/>
          </w:tcPr>
          <w:p>
            <w:pPr>
              <w:jc w:val="center"/>
            </w:pPr>
            <w:r>
              <w:rPr>
                <w:rFonts w:ascii="黑体" w:hAnsi="黑体" w:eastAsia="黑体"/>
                <w:b/>
                <w:color w:val="000000"/>
                <w:sz w:val="20"/>
              </w:rPr>
              <w:t>对应文件</w:t>
            </w:r>
          </w:p>
        </w:tc>
      </w:tr>
      <w:tr>
        <w:tc>
          <w:tcPr>
            <w:tcW w:type="dxa" w:w="2771"/>
          </w:tcPr>
          <w:p>
            <w:pPr>
              <w:jc w:val="center"/>
            </w:pPr>
            <w:r>
              <w:rPr>
                <w:rFonts w:ascii="宋体" w:hAnsi="宋体" w:eastAsia="宋体"/>
                <w:b w:val="0"/>
                <w:color w:val="000000"/>
                <w:sz w:val="20"/>
              </w:rPr>
              <w:t>认证模块</w:t>
            </w:r>
          </w:p>
        </w:tc>
        <w:tc>
          <w:tcPr>
            <w:tcW w:type="dxa" w:w="2771"/>
          </w:tcPr>
          <w:p>
            <w:pPr>
              <w:jc w:val="center"/>
            </w:pPr>
            <w:r>
              <w:rPr>
                <w:rFonts w:ascii="宋体" w:hAnsi="宋体" w:eastAsia="宋体"/>
                <w:b w:val="0"/>
                <w:color w:val="000000"/>
                <w:sz w:val="20"/>
              </w:rPr>
              <w:t>注册、登录、Token签发与验证</w:t>
            </w:r>
          </w:p>
        </w:tc>
        <w:tc>
          <w:tcPr>
            <w:tcW w:type="dxa" w:w="2771"/>
          </w:tcPr>
          <w:p>
            <w:pPr>
              <w:jc w:val="center"/>
            </w:pPr>
            <w:r>
              <w:rPr>
                <w:rFonts w:ascii="宋体" w:hAnsi="宋体" w:eastAsia="宋体"/>
                <w:b w:val="0"/>
                <w:color w:val="000000"/>
                <w:sz w:val="20"/>
              </w:rPr>
              <w:t>server.py</w:t>
            </w:r>
          </w:p>
        </w:tc>
      </w:tr>
      <w:tr>
        <w:tc>
          <w:tcPr>
            <w:tcW w:type="dxa" w:w="2771"/>
          </w:tcPr>
          <w:p>
            <w:pPr>
              <w:jc w:val="center"/>
            </w:pPr>
            <w:r>
              <w:rPr>
                <w:rFonts w:ascii="宋体" w:hAnsi="宋体" w:eastAsia="宋体"/>
                <w:b w:val="0"/>
                <w:color w:val="000000"/>
                <w:sz w:val="20"/>
              </w:rPr>
              <w:t>前端展示模块</w:t>
            </w:r>
          </w:p>
        </w:tc>
        <w:tc>
          <w:tcPr>
            <w:tcW w:type="dxa" w:w="2771"/>
          </w:tcPr>
          <w:p>
            <w:pPr>
              <w:jc w:val="center"/>
            </w:pPr>
            <w:r>
              <w:rPr>
                <w:rFonts w:ascii="宋体" w:hAnsi="宋体" w:eastAsia="宋体"/>
                <w:b w:val="0"/>
                <w:color w:val="000000"/>
                <w:sz w:val="20"/>
              </w:rPr>
              <w:t>页面路由与交互、图表、SSE渲染</w:t>
            </w:r>
          </w:p>
        </w:tc>
        <w:tc>
          <w:tcPr>
            <w:tcW w:type="dxa" w:w="2771"/>
          </w:tcPr>
          <w:p>
            <w:pPr>
              <w:jc w:val="center"/>
            </w:pPr>
            <w:r>
              <w:rPr>
                <w:rFonts w:ascii="宋体" w:hAnsi="宋体" w:eastAsia="宋体"/>
                <w:b w:val="0"/>
                <w:color w:val="000000"/>
                <w:sz w:val="20"/>
              </w:rPr>
              <w:t>frontend/index.html</w:t>
            </w:r>
          </w:p>
        </w:tc>
      </w:tr>
      <w:tr>
        <w:tc>
          <w:tcPr>
            <w:tcW w:type="dxa" w:w="2771"/>
          </w:tcPr>
          <w:p>
            <w:pPr>
              <w:jc w:val="center"/>
            </w:pPr>
            <w:r>
              <w:rPr>
                <w:rFonts w:ascii="宋体" w:hAnsi="宋体" w:eastAsia="宋体"/>
                <w:b w:val="0"/>
                <w:color w:val="000000"/>
                <w:sz w:val="20"/>
              </w:rPr>
              <w:t>感知模块</w:t>
            </w:r>
          </w:p>
        </w:tc>
        <w:tc>
          <w:tcPr>
            <w:tcW w:type="dxa" w:w="2771"/>
          </w:tcPr>
          <w:p>
            <w:pPr>
              <w:jc w:val="center"/>
            </w:pPr>
            <w:r>
              <w:rPr>
                <w:rFonts w:ascii="宋体" w:hAnsi="宋体" w:eastAsia="宋体"/>
                <w:b w:val="0"/>
                <w:color w:val="000000"/>
                <w:sz w:val="20"/>
              </w:rPr>
              <w:t>噪声估计、结构张量、模态识别、边缘密度</w:t>
            </w:r>
          </w:p>
        </w:tc>
        <w:tc>
          <w:tcPr>
            <w:tcW w:type="dxa" w:w="2771"/>
          </w:tcPr>
          <w:p>
            <w:pPr>
              <w:jc w:val="center"/>
            </w:pPr>
            <w:r>
              <w:rPr>
                <w:rFonts w:ascii="宋体" w:hAnsi="宋体" w:eastAsia="宋体"/>
                <w:b w:val="0"/>
                <w:color w:val="000000"/>
                <w:sz w:val="20"/>
              </w:rPr>
              <w:t>meddenoise/tools/analysis.py</w:t>
            </w:r>
          </w:p>
        </w:tc>
      </w:tr>
      <w:tr>
        <w:tc>
          <w:tcPr>
            <w:tcW w:type="dxa" w:w="2771"/>
          </w:tcPr>
          <w:p>
            <w:pPr>
              <w:jc w:val="center"/>
            </w:pPr>
            <w:r>
              <w:rPr>
                <w:rFonts w:ascii="宋体" w:hAnsi="宋体" w:eastAsia="宋体"/>
                <w:b w:val="0"/>
                <w:color w:val="000000"/>
                <w:sz w:val="20"/>
              </w:rPr>
              <w:t>决策模块</w:t>
            </w:r>
          </w:p>
        </w:tc>
        <w:tc>
          <w:tcPr>
            <w:tcW w:type="dxa" w:w="2771"/>
          </w:tcPr>
          <w:p>
            <w:pPr>
              <w:jc w:val="center"/>
            </w:pPr>
            <w:r>
              <w:rPr>
                <w:rFonts w:ascii="宋体" w:hAnsi="宋体" w:eastAsia="宋体"/>
                <w:b w:val="0"/>
                <w:color w:val="000000"/>
                <w:sz w:val="20"/>
              </w:rPr>
              <w:t>LLM规划、专家规则、参数生成</w:t>
            </w:r>
          </w:p>
        </w:tc>
        <w:tc>
          <w:tcPr>
            <w:tcW w:type="dxa" w:w="2771"/>
          </w:tcPr>
          <w:p>
            <w:pPr>
              <w:jc w:val="center"/>
            </w:pPr>
            <w:r>
              <w:rPr>
                <w:rFonts w:ascii="宋体" w:hAnsi="宋体" w:eastAsia="宋体"/>
                <w:b w:val="0"/>
                <w:color w:val="000000"/>
                <w:sz w:val="20"/>
              </w:rPr>
              <w:t>meddenoise/agent/planner.py, ai_pipeline.py</w:t>
            </w:r>
          </w:p>
        </w:tc>
      </w:tr>
      <w:tr>
        <w:tc>
          <w:tcPr>
            <w:tcW w:type="dxa" w:w="2771"/>
          </w:tcPr>
          <w:p>
            <w:pPr>
              <w:jc w:val="center"/>
            </w:pPr>
            <w:r>
              <w:rPr>
                <w:rFonts w:ascii="宋体" w:hAnsi="宋体" w:eastAsia="宋体"/>
                <w:b w:val="0"/>
                <w:color w:val="000000"/>
                <w:sz w:val="20"/>
              </w:rPr>
              <w:t>执行模块</w:t>
            </w:r>
          </w:p>
        </w:tc>
        <w:tc>
          <w:tcPr>
            <w:tcW w:type="dxa" w:w="2771"/>
          </w:tcPr>
          <w:p>
            <w:pPr>
              <w:jc w:val="center"/>
            </w:pPr>
            <w:r>
              <w:rPr>
                <w:rFonts w:ascii="宋体" w:hAnsi="宋体" w:eastAsia="宋体"/>
                <w:b w:val="0"/>
                <w:color w:val="000000"/>
                <w:sz w:val="20"/>
              </w:rPr>
              <w:t>调用去噪与增强工具，维护图像状态</w:t>
            </w:r>
          </w:p>
        </w:tc>
        <w:tc>
          <w:tcPr>
            <w:tcW w:type="dxa" w:w="2771"/>
          </w:tcPr>
          <w:p>
            <w:pPr>
              <w:jc w:val="center"/>
            </w:pPr>
            <w:r>
              <w:rPr>
                <w:rFonts w:ascii="宋体" w:hAnsi="宋体" w:eastAsia="宋体"/>
                <w:b w:val="0"/>
                <w:color w:val="000000"/>
                <w:sz w:val="20"/>
              </w:rPr>
              <w:t>meddenoise/tools/registry.py, subagents.py</w:t>
            </w:r>
          </w:p>
        </w:tc>
      </w:tr>
      <w:tr>
        <w:tc>
          <w:tcPr>
            <w:tcW w:type="dxa" w:w="2771"/>
          </w:tcPr>
          <w:p>
            <w:pPr>
              <w:jc w:val="center"/>
            </w:pPr>
            <w:r>
              <w:rPr>
                <w:rFonts w:ascii="宋体" w:hAnsi="宋体" w:eastAsia="宋体"/>
                <w:b w:val="0"/>
                <w:color w:val="000000"/>
                <w:sz w:val="20"/>
              </w:rPr>
              <w:t>评估模块</w:t>
            </w:r>
          </w:p>
        </w:tc>
        <w:tc>
          <w:tcPr>
            <w:tcW w:type="dxa" w:w="2771"/>
          </w:tcPr>
          <w:p>
            <w:pPr>
              <w:jc w:val="center"/>
            </w:pPr>
            <w:r>
              <w:rPr>
                <w:rFonts w:ascii="宋体" w:hAnsi="宋体" w:eastAsia="宋体"/>
                <w:b w:val="0"/>
                <w:color w:val="000000"/>
                <w:sz w:val="20"/>
              </w:rPr>
              <w:t>全参考与无参考质量评估</w:t>
            </w:r>
          </w:p>
        </w:tc>
        <w:tc>
          <w:tcPr>
            <w:tcW w:type="dxa" w:w="2771"/>
          </w:tcPr>
          <w:p>
            <w:pPr>
              <w:jc w:val="center"/>
            </w:pPr>
            <w:r>
              <w:rPr>
                <w:rFonts w:ascii="宋体" w:hAnsi="宋体" w:eastAsia="宋体"/>
                <w:b w:val="0"/>
                <w:color w:val="000000"/>
                <w:sz w:val="20"/>
              </w:rPr>
              <w:t>meddenoise/tools/metrics.py</w:t>
            </w:r>
          </w:p>
        </w:tc>
      </w:tr>
      <w:tr>
        <w:tc>
          <w:tcPr>
            <w:tcW w:type="dxa" w:w="2771"/>
          </w:tcPr>
          <w:p>
            <w:pPr>
              <w:jc w:val="center"/>
            </w:pPr>
            <w:r>
              <w:rPr>
                <w:rFonts w:ascii="宋体" w:hAnsi="宋体" w:eastAsia="宋体"/>
                <w:b w:val="0"/>
                <w:color w:val="000000"/>
                <w:sz w:val="20"/>
              </w:rPr>
              <w:t>协调模块</w:t>
            </w:r>
          </w:p>
        </w:tc>
        <w:tc>
          <w:tcPr>
            <w:tcW w:type="dxa" w:w="2771"/>
          </w:tcPr>
          <w:p>
            <w:pPr>
              <w:jc w:val="center"/>
            </w:pPr>
            <w:r>
              <w:rPr>
                <w:rFonts w:ascii="宋体" w:hAnsi="宋体" w:eastAsia="宋体"/>
                <w:b w:val="0"/>
                <w:color w:val="000000"/>
                <w:sz w:val="20"/>
              </w:rPr>
              <w:t>循环调度感知-决策-执行-评估</w:t>
            </w:r>
          </w:p>
        </w:tc>
        <w:tc>
          <w:tcPr>
            <w:tcW w:type="dxa" w:w="2771"/>
          </w:tcPr>
          <w:p>
            <w:pPr>
              <w:jc w:val="center"/>
            </w:pPr>
            <w:r>
              <w:rPr>
                <w:rFonts w:ascii="宋体" w:hAnsi="宋体" w:eastAsia="宋体"/>
                <w:b w:val="0"/>
                <w:color w:val="000000"/>
                <w:sz w:val="20"/>
              </w:rPr>
              <w:t>meddenoise/agent/coordinator.py</w:t>
            </w:r>
          </w:p>
        </w:tc>
      </w:tr>
      <w:tr>
        <w:tc>
          <w:tcPr>
            <w:tcW w:type="dxa" w:w="2771"/>
          </w:tcPr>
          <w:p>
            <w:pPr>
              <w:jc w:val="center"/>
            </w:pPr>
            <w:r>
              <w:rPr>
                <w:rFonts w:ascii="宋体" w:hAnsi="宋体" w:eastAsia="宋体"/>
                <w:b w:val="0"/>
                <w:color w:val="000000"/>
                <w:sz w:val="20"/>
              </w:rPr>
              <w:t>监控模块</w:t>
            </w:r>
          </w:p>
        </w:tc>
        <w:tc>
          <w:tcPr>
            <w:tcW w:type="dxa" w:w="2771"/>
          </w:tcPr>
          <w:p>
            <w:pPr>
              <w:jc w:val="center"/>
            </w:pPr>
            <w:r>
              <w:rPr>
                <w:rFonts w:ascii="宋体" w:hAnsi="宋体" w:eastAsia="宋体"/>
                <w:b w:val="0"/>
                <w:color w:val="000000"/>
                <w:sz w:val="20"/>
              </w:rPr>
              <w:t>API调用统计、模型配置、限额控制</w:t>
            </w:r>
          </w:p>
        </w:tc>
        <w:tc>
          <w:tcPr>
            <w:tcW w:type="dxa" w:w="2771"/>
          </w:tcPr>
          <w:p>
            <w:pPr>
              <w:jc w:val="center"/>
            </w:pPr>
            <w:r>
              <w:rPr>
                <w:rFonts w:ascii="宋体" w:hAnsi="宋体" w:eastAsia="宋体"/>
                <w:b w:val="0"/>
                <w:color w:val="000000"/>
                <w:sz w:val="20"/>
              </w:rPr>
              <w:t>meddenoise/agent/llm.py</w:t>
            </w:r>
          </w:p>
        </w:tc>
      </w:tr>
    </w:tbl>
    <w:p/>
    <w:p>
      <w:pPr>
        <w:pStyle w:val="Heading2"/>
        <w:jc w:val="left"/>
      </w:pPr>
      <w:r>
        <w:rPr>
          <w:rFonts w:ascii="黑体" w:hAnsi="黑体" w:eastAsia="黑体"/>
          <w:b/>
          <w:color w:val="000000"/>
          <w:sz w:val="24"/>
        </w:rPr>
        <w:t>4.3  数据存储设计</w:t>
      </w:r>
    </w:p>
    <w:p>
      <w:pPr>
        <w:spacing w:line="360" w:lineRule="auto" w:after="120" w:before="0"/>
        <w:ind w:firstLine="420"/>
      </w:pPr>
      <w:r>
        <w:rPr>
          <w:rFonts w:ascii="宋体" w:hAnsi="宋体" w:eastAsia="宋体"/>
          <w:b w:val="0"/>
          <w:color w:val="000000"/>
          <w:sz w:val="21"/>
        </w:rPr>
        <w:t>系统数据存储在data目录下：users.json保存用户信息，tokens.json保存登录Token，results_history.json保存历史处理记录，api_usage.json保存API调用统计，api_config.json保存模型与Token限额配置，datasets目录存放内置医学影像样本。这些本地JSON文件便于调试与演示，生产环境下可迁移至SQLite或PostgreSQL。</w:t>
      </w:r>
    </w:p>
    <w:p>
      <w:r>
        <w:br w:type="page"/>
      </w:r>
    </w:p>
    <w:p>
      <w:pPr>
        <w:pStyle w:val="Heading1"/>
        <w:jc w:val="left"/>
      </w:pPr>
      <w:r>
        <w:rPr>
          <w:rFonts w:ascii="黑体" w:hAnsi="黑体" w:eastAsia="黑体"/>
          <w:b/>
          <w:color w:val="000000"/>
          <w:sz w:val="28"/>
        </w:rPr>
        <w:t>5  系统详细设计</w:t>
      </w:r>
    </w:p>
    <w:p>
      <w:pPr>
        <w:pStyle w:val="Heading2"/>
        <w:jc w:val="left"/>
      </w:pPr>
      <w:r>
        <w:rPr>
          <w:rFonts w:ascii="黑体" w:hAnsi="黑体" w:eastAsia="黑体"/>
          <w:b/>
          <w:color w:val="000000"/>
          <w:sz w:val="24"/>
        </w:rPr>
        <w:t>5.1  Agent智能体整体框架</w:t>
      </w:r>
    </w:p>
    <w:p>
      <w:pPr>
        <w:spacing w:line="360" w:lineRule="auto" w:after="120" w:before="0"/>
        <w:ind w:firstLine="420"/>
      </w:pPr>
      <w:r>
        <w:rPr>
          <w:rFonts w:ascii="宋体" w:hAnsi="宋体" w:eastAsia="宋体"/>
          <w:b w:val="0"/>
          <w:color w:val="000000"/>
          <w:sz w:val="21"/>
        </w:rPr>
        <w:t>Agent智能体是本系统的核心智能层。整体采用'感知→规划→执行→评估→反思→协调'的闭环流程。协调Agent（Coordinator）负责任务分发与迭代控制；四个子Agent各司其职，通过ToolExecutor共享图像状态与执行轨迹。当LLM可用时，决策Agent调用Anthropic兼容API进行真实推理；不可用则回退到规则引擎，确保系统始终可运行。</w:t>
      </w:r>
    </w:p>
    <w:p>
      <w:pPr>
        <w:pStyle w:val="Heading2"/>
        <w:jc w:val="left"/>
      </w:pPr>
      <w:r>
        <w:rPr>
          <w:rFonts w:ascii="黑体" w:hAnsi="黑体" w:eastAsia="黑体"/>
          <w:b/>
          <w:color w:val="000000"/>
          <w:sz w:val="24"/>
        </w:rPr>
        <w:t>5.2  子Agent详细设计</w:t>
      </w:r>
    </w:p>
    <w:p>
      <w:pPr>
        <w:spacing w:line="360" w:lineRule="auto" w:after="120" w:before="0"/>
        <w:ind w:firstLine="420"/>
      </w:pPr>
      <w:r>
        <w:rPr>
          <w:rFonts w:ascii="宋体" w:hAnsi="宋体" w:eastAsia="宋体"/>
          <w:b w:val="0"/>
          <w:color w:val="000000"/>
          <w:sz w:val="21"/>
        </w:rPr>
        <w:t>感知Agent（PerceptionAgent）调用analyze_image完成小波MAD噪声估计、结构张量特征值、Canny边缘密度、局部方差/纹理复杂度、方向一致性和动态范围分析，并将结果格式化为结构化字典。决策Agent（PlanningAgent）加载领域技能SKILL.md与最近5条历史案例，构造Prompt提交给LLM；LLM返回JSON参数方案，经sanitize函数裁剪到安全边界。执行Agent（ExecutionAgent）按 plans 调用ToolExecutor中的denoise_image、enhance_image等工具。评估Agent（EvaluationAgent）根据是否存在参考图计算PSNR/SSIM/RMSE或无参考指标。</w:t>
      </w:r>
    </w:p>
    <w:p>
      <w:pPr>
        <w:spacing w:after="80"/>
        <w:jc w:val="center"/>
      </w:pPr>
      <w:r>
        <w:drawing>
          <wp:inline xmlns:a="http://schemas.openxmlformats.org/drawingml/2006/main" xmlns:pic="http://schemas.openxmlformats.org/drawingml/2006/picture">
            <wp:extent cx="4572000" cy="3302000"/>
            <wp:docPr id="3" name="Picture 3"/>
            <wp:cNvGraphicFramePr>
              <a:graphicFrameLocks noChangeAspect="1"/>
            </wp:cNvGraphicFramePr>
            <a:graphic>
              <a:graphicData uri="http://schemas.openxmlformats.org/drawingml/2006/picture">
                <pic:pic>
                  <pic:nvPicPr>
                    <pic:cNvPr id="0" name="agent_architecture.png"/>
                    <pic:cNvPicPr/>
                  </pic:nvPicPr>
                  <pic:blipFill>
                    <a:blip r:embed="rId10"/>
                    <a:stretch>
                      <a:fillRect/>
                    </a:stretch>
                  </pic:blipFill>
                  <pic:spPr>
                    <a:xfrm>
                      <a:off x="0" y="0"/>
                      <a:ext cx="4572000" cy="3302000"/>
                    </a:xfrm>
                    <a:prstGeom prst="rect"/>
                  </pic:spPr>
                </pic:pic>
              </a:graphicData>
            </a:graphic>
          </wp:inline>
        </w:drawing>
      </w:r>
    </w:p>
    <w:p>
      <w:pPr>
        <w:spacing w:after="160"/>
        <w:jc w:val="center"/>
      </w:pPr>
      <w:r>
        <w:rPr>
          <w:rFonts w:ascii="宋体" w:hAnsi="宋体" w:eastAsia="宋体"/>
          <w:b w:val="0"/>
          <w:color w:val="505050"/>
          <w:sz w:val="20"/>
        </w:rPr>
        <w:t>图5-1  子Agent职责与数据流转</w:t>
      </w:r>
    </w:p>
    <w:p>
      <w:pPr>
        <w:pStyle w:val="Heading2"/>
        <w:jc w:val="left"/>
      </w:pPr>
      <w:r>
        <w:rPr>
          <w:rFonts w:ascii="黑体" w:hAnsi="黑体" w:eastAsia="黑体"/>
          <w:b/>
          <w:color w:val="000000"/>
          <w:sz w:val="24"/>
        </w:rPr>
        <w:t>5.3  Prompt与知识库设计</w:t>
      </w:r>
    </w:p>
    <w:p>
      <w:pPr>
        <w:spacing w:line="360" w:lineRule="auto" w:after="120" w:before="0"/>
        <w:ind w:firstLine="420"/>
      </w:pPr>
      <w:r>
        <w:rPr>
          <w:rFonts w:ascii="宋体" w:hAnsi="宋体" w:eastAsia="宋体"/>
          <w:b w:val="0"/>
          <w:color w:val="000000"/>
          <w:sz w:val="21"/>
        </w:rPr>
        <w:t>LLM使用的Prompt包括系统提示（TUNE_SYSTEM）与用户提示。系统提示中注入了VT-BM3D论文核心公式、结构化噪声参数、去噪策略知识以及最近5条历史案例，使LLM在调参时能够参考类似影像的成功经验。SkillLoader读取skills目录下的Markdown技能文件，实现领域知识的版本化管理；CaseMemory保存最近100条处理记录，供决策Agent进行相似案例检索。</w:t>
      </w:r>
    </w:p>
    <w:p>
      <w:pPr>
        <w:spacing w:line="240" w:lineRule="auto" w:after="80"/>
        <w:ind w:firstLine="0" w:left="283"/>
      </w:pPr>
      <w:r>
        <w:rPr>
          <w:rFonts w:ascii="Consolas" w:hAnsi="Consolas" w:eastAsia="Consolas"/>
          <w:b w:val="0"/>
          <w:color w:val="1E1E1E"/>
          <w:sz w:val="16"/>
        </w:rPr>
        <w:t>TUNE_SYSTEM = (</w:t>
        <w:br/>
        <w:t xml:space="preserve">    "你是医学影像去噪专家Agent, 精通论文《VT-BM3D...》。"</w:t>
        <w:br/>
        <w:t xml:space="preserve">    "本系统只使用论文提出的VT-BM3D算法..."</w:t>
        <w:br/>
        <w:t xml:space="preserve">    "必须输出JSON: {method, sigma, params:{alpha,beta_tensor,texture_boost}, enhance, ...}"</w:t>
        <w:br/>
        <w:t>)</w:t>
      </w:r>
    </w:p>
    <w:p>
      <w:pPr>
        <w:pStyle w:val="Heading2"/>
        <w:jc w:val="left"/>
      </w:pPr>
      <w:r>
        <w:rPr>
          <w:rFonts w:ascii="黑体" w:hAnsi="黑体" w:eastAsia="黑体"/>
          <w:b/>
          <w:color w:val="000000"/>
          <w:sz w:val="24"/>
        </w:rPr>
        <w:t>5.4  参数生成与边界裁剪</w:t>
      </w:r>
    </w:p>
    <w:p>
      <w:pPr>
        <w:spacing w:line="360" w:lineRule="auto" w:after="120" w:before="0"/>
        <w:ind w:firstLine="420"/>
      </w:pPr>
      <w:r>
        <w:rPr>
          <w:rFonts w:ascii="宋体" w:hAnsi="宋体" w:eastAsia="宋体"/>
          <w:b w:val="0"/>
          <w:color w:val="000000"/>
          <w:sz w:val="21"/>
        </w:rPr>
        <w:t>LLM输出可能包含超出合理范围的数值，因此sanitize函数对参数进行白名单与边界裁剪。固定method='vt-bm3d'，sigma限制在0.5-75之间，alpha∈[0.2,0.6]，beta_tensor∈[0.4,0.8]，texture_boost∈[1.1,2.0]，增强方法限定在clahe/unsharp/gamma等内置 Enhancer。这样既能发挥LLM的推理灵活性，又保证执行安全。</w:t>
      </w:r>
    </w:p>
    <w:p>
      <w:pPr>
        <w:spacing w:line="240" w:lineRule="auto" w:after="80"/>
        <w:ind w:firstLine="0" w:left="283"/>
      </w:pPr>
      <w:r>
        <w:rPr>
          <w:rFonts w:ascii="Consolas" w:hAnsi="Consolas" w:eastAsia="Consolas"/>
          <w:b w:val="0"/>
          <w:color w:val="1E1E1E"/>
          <w:sz w:val="16"/>
        </w:rPr>
        <w:t>PARAM_BOUNDS = {</w:t>
        <w:br/>
        <w:t xml:space="preserve">    "alpha": (0.2, 0.6),</w:t>
        <w:br/>
        <w:t xml:space="preserve">    "beta_tensor": (0.4, 0.8),</w:t>
        <w:br/>
        <w:t xml:space="preserve">    "texture_boost": (1.1, 2.0),</w:t>
        <w:br/>
        <w:t>}</w:t>
        <w:br/>
        <w:br/>
        <w:t>def _sanitize(plan, est_sigma):</w:t>
        <w:br/>
        <w:t xml:space="preserve">    plan["method"] = "vt-bm3d"</w:t>
        <w:br/>
        <w:t xml:space="preserve">    plan["sigma"] = float(np.clip(plan["sigma"], 0.5, 75))</w:t>
        <w:br/>
        <w:t xml:space="preserve">    for k, (lo, hi) in PARAM_BOUNDS.items():</w:t>
        <w:br/>
        <w:t xml:space="preserve">        plan["params"][k] = round(np.clip(plan["params"][k], lo, hi), 2)</w:t>
        <w:br/>
        <w:t xml:space="preserve">    return plan</w:t>
      </w:r>
    </w:p>
    <w:p>
      <w:pPr>
        <w:pStyle w:val="Heading2"/>
        <w:jc w:val="left"/>
      </w:pPr>
      <w:r>
        <w:rPr>
          <w:rFonts w:ascii="黑体" w:hAnsi="黑体" w:eastAsia="黑体"/>
          <w:b/>
          <w:color w:val="000000"/>
          <w:sz w:val="24"/>
        </w:rPr>
        <w:t>5.5  SSE流式事件设计</w:t>
      </w:r>
    </w:p>
    <w:p>
      <w:pPr>
        <w:spacing w:line="360" w:lineRule="auto" w:after="120" w:before="0"/>
        <w:ind w:firstLine="420"/>
      </w:pPr>
      <w:r>
        <w:rPr>
          <w:rFonts w:ascii="宋体" w:hAnsi="宋体" w:eastAsia="宋体"/>
          <w:b w:val="0"/>
          <w:color w:val="000000"/>
          <w:sz w:val="21"/>
        </w:rPr>
        <w:t>为了让前端实时看到AI正在'思考'，server.py将run_ai_pipeline生成的事件通过SSE推送给前端。事件包括：stage（阶段切换）、thinking（流式文本）、perception（感知结果）、decision（调参方案）、result（最终结果）。前端Vue组件根据事件类型更新进度条、AI思考面板与结果展示区，实现类似ChatGPT的打字机效果。</w:t>
      </w:r>
    </w:p>
    <w:p>
      <w:pPr>
        <w:spacing w:line="240" w:lineRule="auto" w:after="80"/>
        <w:ind w:firstLine="0" w:left="283"/>
      </w:pPr>
      <w:r>
        <w:rPr>
          <w:rFonts w:ascii="Consolas" w:hAnsi="Consolas" w:eastAsia="Consolas"/>
          <w:b w:val="0"/>
          <w:color w:val="1E1E1E"/>
          <w:sz w:val="16"/>
        </w:rPr>
        <w:t>@app.post("/api/process")</w:t>
        <w:br/>
        <w:t>async def process(...):</w:t>
        <w:br/>
        <w:t xml:space="preserve">    def streamer():</w:t>
        <w:br/>
        <w:t xml:space="preserve">        for event in run_ai_pipeline(noisy, reference, source, sigma):</w:t>
        <w:br/>
        <w:t xml:space="preserve">            if event["type"] == "result":</w:t>
        <w:br/>
        <w:t xml:space="preserve">                yield "data: " + json.dumps(payload) + "\n\n"</w:t>
        <w:br/>
        <w:t xml:space="preserve">            else:</w:t>
        <w:br/>
        <w:t xml:space="preserve">                yield "data: " + json.dumps(event) + "\n\n"</w:t>
        <w:br/>
        <w:t xml:space="preserve">    return StreamingResponse(streamer(), media_type="text/event-stream")</w:t>
      </w:r>
    </w:p>
    <w:p>
      <w:pPr>
        <w:pStyle w:val="Heading2"/>
        <w:jc w:val="left"/>
      </w:pPr>
      <w:r>
        <w:rPr>
          <w:rFonts w:ascii="黑体" w:hAnsi="黑体" w:eastAsia="黑体"/>
          <w:b/>
          <w:color w:val="000000"/>
          <w:sz w:val="24"/>
        </w:rPr>
        <w:t>5.6  API设计与认证</w:t>
      </w:r>
    </w:p>
    <w:tbl>
      <w:tblPr>
        <w:tblStyle w:val="TableGrid"/>
        <w:tblW w:type="auto" w:w="0"/>
        <w:tblLook w:firstColumn="1" w:firstRow="1" w:lastColumn="0" w:lastRow="0" w:noHBand="0" w:noVBand="1" w:val="04A0"/>
      </w:tblPr>
      <w:tblGrid>
        <w:gridCol w:w="2771"/>
        <w:gridCol w:w="2771"/>
        <w:gridCol w:w="2771"/>
      </w:tblGrid>
      <w:tr>
        <w:tc>
          <w:tcPr>
            <w:tcW w:type="dxa" w:w="2771"/>
          </w:tcPr>
          <w:p>
            <w:pPr>
              <w:jc w:val="center"/>
            </w:pPr>
            <w:r>
              <w:rPr>
                <w:rFonts w:ascii="黑体" w:hAnsi="黑体" w:eastAsia="黑体"/>
                <w:b/>
                <w:color w:val="000000"/>
                <w:sz w:val="20"/>
              </w:rPr>
              <w:t>接口</w:t>
            </w:r>
          </w:p>
        </w:tc>
        <w:tc>
          <w:tcPr>
            <w:tcW w:type="dxa" w:w="2771"/>
          </w:tcPr>
          <w:p>
            <w:pPr>
              <w:jc w:val="center"/>
            </w:pPr>
            <w:r>
              <w:rPr>
                <w:rFonts w:ascii="黑体" w:hAnsi="黑体" w:eastAsia="黑体"/>
                <w:b/>
                <w:color w:val="000000"/>
                <w:sz w:val="20"/>
              </w:rPr>
              <w:t>方法</w:t>
            </w:r>
          </w:p>
        </w:tc>
        <w:tc>
          <w:tcPr>
            <w:tcW w:type="dxa" w:w="2771"/>
          </w:tcPr>
          <w:p>
            <w:pPr>
              <w:jc w:val="center"/>
            </w:pPr>
            <w:r>
              <w:rPr>
                <w:rFonts w:ascii="黑体" w:hAnsi="黑体" w:eastAsia="黑体"/>
                <w:b/>
                <w:color w:val="000000"/>
                <w:sz w:val="20"/>
              </w:rPr>
              <w:t>说明</w:t>
            </w:r>
          </w:p>
        </w:tc>
      </w:tr>
      <w:tr>
        <w:tc>
          <w:tcPr>
            <w:tcW w:type="dxa" w:w="2771"/>
          </w:tcPr>
          <w:p>
            <w:pPr>
              <w:jc w:val="center"/>
            </w:pPr>
            <w:r>
              <w:rPr>
                <w:rFonts w:ascii="宋体" w:hAnsi="宋体" w:eastAsia="宋体"/>
                <w:b w:val="0"/>
                <w:color w:val="000000"/>
                <w:sz w:val="20"/>
              </w:rPr>
              <w:t>/api/register</w:t>
            </w:r>
          </w:p>
        </w:tc>
        <w:tc>
          <w:tcPr>
            <w:tcW w:type="dxa" w:w="2771"/>
          </w:tcPr>
          <w:p>
            <w:pPr>
              <w:jc w:val="center"/>
            </w:pPr>
            <w:r>
              <w:rPr>
                <w:rFonts w:ascii="宋体" w:hAnsi="宋体" w:eastAsia="宋体"/>
                <w:b w:val="0"/>
                <w:color w:val="000000"/>
                <w:sz w:val="20"/>
              </w:rPr>
              <w:t>POST</w:t>
            </w:r>
          </w:p>
        </w:tc>
        <w:tc>
          <w:tcPr>
            <w:tcW w:type="dxa" w:w="2771"/>
          </w:tcPr>
          <w:p>
            <w:pPr>
              <w:jc w:val="center"/>
            </w:pPr>
            <w:r>
              <w:rPr>
                <w:rFonts w:ascii="宋体" w:hAnsi="宋体" w:eastAsia="宋体"/>
                <w:b w:val="0"/>
                <w:color w:val="000000"/>
                <w:sz w:val="20"/>
              </w:rPr>
              <w:t>用户注册（保存用户名、邮箱、密码哈希）</w:t>
            </w:r>
          </w:p>
        </w:tc>
      </w:tr>
      <w:tr>
        <w:tc>
          <w:tcPr>
            <w:tcW w:type="dxa" w:w="2771"/>
          </w:tcPr>
          <w:p>
            <w:pPr>
              <w:jc w:val="center"/>
            </w:pPr>
            <w:r>
              <w:rPr>
                <w:rFonts w:ascii="宋体" w:hAnsi="宋体" w:eastAsia="宋体"/>
                <w:b w:val="0"/>
                <w:color w:val="000000"/>
                <w:sz w:val="20"/>
              </w:rPr>
              <w:t>/api/login</w:t>
            </w:r>
          </w:p>
        </w:tc>
        <w:tc>
          <w:tcPr>
            <w:tcW w:type="dxa" w:w="2771"/>
          </w:tcPr>
          <w:p>
            <w:pPr>
              <w:jc w:val="center"/>
            </w:pPr>
            <w:r>
              <w:rPr>
                <w:rFonts w:ascii="宋体" w:hAnsi="宋体" w:eastAsia="宋体"/>
                <w:b w:val="0"/>
                <w:color w:val="000000"/>
                <w:sz w:val="20"/>
              </w:rPr>
              <w:t>POST</w:t>
            </w:r>
          </w:p>
        </w:tc>
        <w:tc>
          <w:tcPr>
            <w:tcW w:type="dxa" w:w="2771"/>
          </w:tcPr>
          <w:p>
            <w:pPr>
              <w:jc w:val="center"/>
            </w:pPr>
            <w:r>
              <w:rPr>
                <w:rFonts w:ascii="宋体" w:hAnsi="宋体" w:eastAsia="宋体"/>
                <w:b w:val="0"/>
                <w:color w:val="000000"/>
                <w:sz w:val="20"/>
              </w:rPr>
              <w:t>用户登录，返回JWT Token</w:t>
            </w:r>
          </w:p>
        </w:tc>
      </w:tr>
      <w:tr>
        <w:tc>
          <w:tcPr>
            <w:tcW w:type="dxa" w:w="2771"/>
          </w:tcPr>
          <w:p>
            <w:pPr>
              <w:jc w:val="center"/>
            </w:pPr>
            <w:r>
              <w:rPr>
                <w:rFonts w:ascii="宋体" w:hAnsi="宋体" w:eastAsia="宋体"/>
                <w:b w:val="0"/>
                <w:color w:val="000000"/>
                <w:sz w:val="20"/>
              </w:rPr>
              <w:t>/api/reset_password</w:t>
            </w:r>
          </w:p>
        </w:tc>
        <w:tc>
          <w:tcPr>
            <w:tcW w:type="dxa" w:w="2771"/>
          </w:tcPr>
          <w:p>
            <w:pPr>
              <w:jc w:val="center"/>
            </w:pPr>
            <w:r>
              <w:rPr>
                <w:rFonts w:ascii="宋体" w:hAnsi="宋体" w:eastAsia="宋体"/>
                <w:b w:val="0"/>
                <w:color w:val="000000"/>
                <w:sz w:val="20"/>
              </w:rPr>
              <w:t>POST</w:t>
            </w:r>
          </w:p>
        </w:tc>
        <w:tc>
          <w:tcPr>
            <w:tcW w:type="dxa" w:w="2771"/>
          </w:tcPr>
          <w:p>
            <w:pPr>
              <w:jc w:val="center"/>
            </w:pPr>
            <w:r>
              <w:rPr>
                <w:rFonts w:ascii="宋体" w:hAnsi="宋体" w:eastAsia="宋体"/>
                <w:b w:val="0"/>
                <w:color w:val="000000"/>
                <w:sz w:val="20"/>
              </w:rPr>
              <w:t>邮箱验证码校验后重置密码</w:t>
            </w:r>
          </w:p>
        </w:tc>
      </w:tr>
      <w:tr>
        <w:tc>
          <w:tcPr>
            <w:tcW w:type="dxa" w:w="2771"/>
          </w:tcPr>
          <w:p>
            <w:pPr>
              <w:jc w:val="center"/>
            </w:pPr>
            <w:r>
              <w:rPr>
                <w:rFonts w:ascii="宋体" w:hAnsi="宋体" w:eastAsia="宋体"/>
                <w:b w:val="0"/>
                <w:color w:val="000000"/>
                <w:sz w:val="20"/>
              </w:rPr>
              <w:t>/api/process</w:t>
            </w:r>
          </w:p>
        </w:tc>
        <w:tc>
          <w:tcPr>
            <w:tcW w:type="dxa" w:w="2771"/>
          </w:tcPr>
          <w:p>
            <w:pPr>
              <w:jc w:val="center"/>
            </w:pPr>
            <w:r>
              <w:rPr>
                <w:rFonts w:ascii="宋体" w:hAnsi="宋体" w:eastAsia="宋体"/>
                <w:b w:val="0"/>
                <w:color w:val="000000"/>
                <w:sz w:val="20"/>
              </w:rPr>
              <w:t>POST</w:t>
            </w:r>
          </w:p>
        </w:tc>
        <w:tc>
          <w:tcPr>
            <w:tcW w:type="dxa" w:w="2771"/>
          </w:tcPr>
          <w:p>
            <w:pPr>
              <w:jc w:val="center"/>
            </w:pPr>
            <w:r>
              <w:rPr>
                <w:rFonts w:ascii="宋体" w:hAnsi="宋体" w:eastAsia="宋体"/>
                <w:b w:val="0"/>
                <w:color w:val="000000"/>
                <w:sz w:val="20"/>
              </w:rPr>
              <w:t>SSE流式AI处理</w:t>
            </w:r>
          </w:p>
        </w:tc>
      </w:tr>
      <w:tr>
        <w:tc>
          <w:tcPr>
            <w:tcW w:type="dxa" w:w="2771"/>
          </w:tcPr>
          <w:p>
            <w:pPr>
              <w:jc w:val="center"/>
            </w:pPr>
            <w:r>
              <w:rPr>
                <w:rFonts w:ascii="宋体" w:hAnsi="宋体" w:eastAsia="宋体"/>
                <w:b w:val="0"/>
                <w:color w:val="000000"/>
                <w:sz w:val="20"/>
              </w:rPr>
              <w:t>/api/history</w:t>
            </w:r>
          </w:p>
        </w:tc>
        <w:tc>
          <w:tcPr>
            <w:tcW w:type="dxa" w:w="2771"/>
          </w:tcPr>
          <w:p>
            <w:pPr>
              <w:jc w:val="center"/>
            </w:pPr>
            <w:r>
              <w:rPr>
                <w:rFonts w:ascii="宋体" w:hAnsi="宋体" w:eastAsia="宋体"/>
                <w:b w:val="0"/>
                <w:color w:val="000000"/>
                <w:sz w:val="20"/>
              </w:rPr>
              <w:t>GET</w:t>
            </w:r>
          </w:p>
        </w:tc>
        <w:tc>
          <w:tcPr>
            <w:tcW w:type="dxa" w:w="2771"/>
          </w:tcPr>
          <w:p>
            <w:pPr>
              <w:jc w:val="center"/>
            </w:pPr>
            <w:r>
              <w:rPr>
                <w:rFonts w:ascii="宋体" w:hAnsi="宋体" w:eastAsia="宋体"/>
                <w:b w:val="0"/>
                <w:color w:val="000000"/>
                <w:sz w:val="20"/>
              </w:rPr>
              <w:t>返回最近处理记录</w:t>
            </w:r>
          </w:p>
        </w:tc>
      </w:tr>
      <w:tr>
        <w:tc>
          <w:tcPr>
            <w:tcW w:type="dxa" w:w="2771"/>
          </w:tcPr>
          <w:p>
            <w:pPr>
              <w:jc w:val="center"/>
            </w:pPr>
            <w:r>
              <w:rPr>
                <w:rFonts w:ascii="宋体" w:hAnsi="宋体" w:eastAsia="宋体"/>
                <w:b w:val="0"/>
                <w:color w:val="000000"/>
                <w:sz w:val="20"/>
              </w:rPr>
              <w:t>/api/chat</w:t>
            </w:r>
          </w:p>
        </w:tc>
        <w:tc>
          <w:tcPr>
            <w:tcW w:type="dxa" w:w="2771"/>
          </w:tcPr>
          <w:p>
            <w:pPr>
              <w:jc w:val="center"/>
            </w:pPr>
            <w:r>
              <w:rPr>
                <w:rFonts w:ascii="宋体" w:hAnsi="宋体" w:eastAsia="宋体"/>
                <w:b w:val="0"/>
                <w:color w:val="000000"/>
                <w:sz w:val="20"/>
              </w:rPr>
              <w:t>POST</w:t>
            </w:r>
          </w:p>
        </w:tc>
        <w:tc>
          <w:tcPr>
            <w:tcW w:type="dxa" w:w="2771"/>
          </w:tcPr>
          <w:p>
            <w:pPr>
              <w:jc w:val="center"/>
            </w:pPr>
            <w:r>
              <w:rPr>
                <w:rFonts w:ascii="宋体" w:hAnsi="宋体" w:eastAsia="宋体"/>
                <w:b w:val="0"/>
                <w:color w:val="000000"/>
                <w:sz w:val="20"/>
              </w:rPr>
              <w:t>智能对话，可选调用LLM</w:t>
            </w:r>
          </w:p>
        </w:tc>
      </w:tr>
      <w:tr>
        <w:tc>
          <w:tcPr>
            <w:tcW w:type="dxa" w:w="2771"/>
          </w:tcPr>
          <w:p>
            <w:pPr>
              <w:jc w:val="center"/>
            </w:pPr>
            <w:r>
              <w:rPr>
                <w:rFonts w:ascii="宋体" w:hAnsi="宋体" w:eastAsia="宋体"/>
                <w:b w:val="0"/>
                <w:color w:val="000000"/>
                <w:sz w:val="20"/>
              </w:rPr>
              <w:t>/api/paper_results</w:t>
            </w:r>
          </w:p>
        </w:tc>
        <w:tc>
          <w:tcPr>
            <w:tcW w:type="dxa" w:w="2771"/>
          </w:tcPr>
          <w:p>
            <w:pPr>
              <w:jc w:val="center"/>
            </w:pPr>
            <w:r>
              <w:rPr>
                <w:rFonts w:ascii="宋体" w:hAnsi="宋体" w:eastAsia="宋体"/>
                <w:b w:val="0"/>
                <w:color w:val="000000"/>
                <w:sz w:val="20"/>
              </w:rPr>
              <w:t>GET</w:t>
            </w:r>
          </w:p>
        </w:tc>
        <w:tc>
          <w:tcPr>
            <w:tcW w:type="dxa" w:w="2771"/>
          </w:tcPr>
          <w:p>
            <w:pPr>
              <w:jc w:val="center"/>
            </w:pPr>
            <w:r>
              <w:rPr>
                <w:rFonts w:ascii="宋体" w:hAnsi="宋体" w:eastAsia="宋体"/>
                <w:b w:val="0"/>
                <w:color w:val="000000"/>
                <w:sz w:val="20"/>
              </w:rPr>
              <w:t>论文复现数据与消融实验</w:t>
            </w:r>
          </w:p>
        </w:tc>
      </w:tr>
      <w:tr>
        <w:tc>
          <w:tcPr>
            <w:tcW w:type="dxa" w:w="2771"/>
          </w:tcPr>
          <w:p>
            <w:pPr>
              <w:jc w:val="center"/>
            </w:pPr>
            <w:r>
              <w:rPr>
                <w:rFonts w:ascii="宋体" w:hAnsi="宋体" w:eastAsia="宋体"/>
                <w:b w:val="0"/>
                <w:color w:val="000000"/>
                <w:sz w:val="20"/>
              </w:rPr>
              <w:t>/api/benchmark</w:t>
            </w:r>
          </w:p>
        </w:tc>
        <w:tc>
          <w:tcPr>
            <w:tcW w:type="dxa" w:w="2771"/>
          </w:tcPr>
          <w:p>
            <w:pPr>
              <w:jc w:val="center"/>
            </w:pPr>
            <w:r>
              <w:rPr>
                <w:rFonts w:ascii="宋体" w:hAnsi="宋体" w:eastAsia="宋体"/>
                <w:b w:val="0"/>
                <w:color w:val="000000"/>
                <w:sz w:val="20"/>
              </w:rPr>
              <w:t>GET</w:t>
            </w:r>
          </w:p>
        </w:tc>
        <w:tc>
          <w:tcPr>
            <w:tcW w:type="dxa" w:w="2771"/>
          </w:tcPr>
          <w:p>
            <w:pPr>
              <w:jc w:val="center"/>
            </w:pPr>
            <w:r>
              <w:rPr>
                <w:rFonts w:ascii="宋体" w:hAnsi="宋体" w:eastAsia="宋体"/>
                <w:b w:val="0"/>
                <w:color w:val="000000"/>
                <w:sz w:val="20"/>
              </w:rPr>
              <w:t>算法评测数据</w:t>
            </w:r>
          </w:p>
        </w:tc>
      </w:tr>
      <w:tr>
        <w:tc>
          <w:tcPr>
            <w:tcW w:type="dxa" w:w="2771"/>
          </w:tcPr>
          <w:p>
            <w:pPr>
              <w:jc w:val="center"/>
            </w:pPr>
            <w:r>
              <w:rPr>
                <w:rFonts w:ascii="宋体" w:hAnsi="宋体" w:eastAsia="宋体"/>
                <w:b w:val="0"/>
                <w:color w:val="000000"/>
                <w:sz w:val="20"/>
              </w:rPr>
              <w:t>/api/api_stats</w:t>
            </w:r>
          </w:p>
        </w:tc>
        <w:tc>
          <w:tcPr>
            <w:tcW w:type="dxa" w:w="2771"/>
          </w:tcPr>
          <w:p>
            <w:pPr>
              <w:jc w:val="center"/>
            </w:pPr>
            <w:r>
              <w:rPr>
                <w:rFonts w:ascii="宋体" w:hAnsi="宋体" w:eastAsia="宋体"/>
                <w:b w:val="0"/>
                <w:color w:val="000000"/>
                <w:sz w:val="20"/>
              </w:rPr>
              <w:t>GET</w:t>
            </w:r>
          </w:p>
        </w:tc>
        <w:tc>
          <w:tcPr>
            <w:tcW w:type="dxa" w:w="2771"/>
          </w:tcPr>
          <w:p>
            <w:pPr>
              <w:jc w:val="center"/>
            </w:pPr>
            <w:r>
              <w:rPr>
                <w:rFonts w:ascii="宋体" w:hAnsi="宋体" w:eastAsia="宋体"/>
                <w:b w:val="0"/>
                <w:color w:val="000000"/>
                <w:sz w:val="20"/>
              </w:rPr>
              <w:t>API使用统计</w:t>
            </w:r>
          </w:p>
        </w:tc>
      </w:tr>
      <w:tr>
        <w:tc>
          <w:tcPr>
            <w:tcW w:type="dxa" w:w="2771"/>
          </w:tcPr>
          <w:p>
            <w:pPr>
              <w:jc w:val="center"/>
            </w:pPr>
            <w:r>
              <w:rPr>
                <w:rFonts w:ascii="宋体" w:hAnsi="宋体" w:eastAsia="宋体"/>
                <w:b w:val="0"/>
                <w:color w:val="000000"/>
                <w:sz w:val="20"/>
              </w:rPr>
              <w:t>/api/api_config</w:t>
            </w:r>
          </w:p>
        </w:tc>
        <w:tc>
          <w:tcPr>
            <w:tcW w:type="dxa" w:w="2771"/>
          </w:tcPr>
          <w:p>
            <w:pPr>
              <w:jc w:val="center"/>
            </w:pPr>
            <w:r>
              <w:rPr>
                <w:rFonts w:ascii="宋体" w:hAnsi="宋体" w:eastAsia="宋体"/>
                <w:b w:val="0"/>
                <w:color w:val="000000"/>
                <w:sz w:val="20"/>
              </w:rPr>
              <w:t>POST/GET</w:t>
            </w:r>
          </w:p>
        </w:tc>
        <w:tc>
          <w:tcPr>
            <w:tcW w:type="dxa" w:w="2771"/>
          </w:tcPr>
          <w:p>
            <w:pPr>
              <w:jc w:val="center"/>
            </w:pPr>
            <w:r>
              <w:rPr>
                <w:rFonts w:ascii="宋体" w:hAnsi="宋体" w:eastAsia="宋体"/>
                <w:b w:val="0"/>
                <w:color w:val="000000"/>
                <w:sz w:val="20"/>
              </w:rPr>
              <w:t>模型与Token限额配置</w:t>
            </w:r>
          </w:p>
        </w:tc>
      </w:tr>
    </w:tbl>
    <w:p/>
    <w:p>
      <w:r>
        <w:br w:type="page"/>
      </w:r>
    </w:p>
    <w:p>
      <w:pPr>
        <w:pStyle w:val="Heading1"/>
        <w:jc w:val="left"/>
      </w:pPr>
      <w:r>
        <w:rPr>
          <w:rFonts w:ascii="黑体" w:hAnsi="黑体" w:eastAsia="黑体"/>
          <w:b/>
          <w:color w:val="000000"/>
          <w:sz w:val="28"/>
        </w:rPr>
        <w:t>6  系统实现</w:t>
      </w:r>
    </w:p>
    <w:p>
      <w:pPr>
        <w:pStyle w:val="Heading2"/>
        <w:jc w:val="left"/>
      </w:pPr>
      <w:r>
        <w:rPr>
          <w:rFonts w:ascii="黑体" w:hAnsi="黑体" w:eastAsia="黑体"/>
          <w:b/>
          <w:color w:val="000000"/>
          <w:sz w:val="24"/>
        </w:rPr>
        <w:t>6.1  用户认证页面</w:t>
      </w:r>
    </w:p>
    <w:p>
      <w:pPr>
        <w:spacing w:line="360" w:lineRule="auto" w:after="120" w:before="0"/>
        <w:ind w:firstLine="420"/>
      </w:pPr>
      <w:r>
        <w:rPr>
          <w:rFonts w:ascii="宋体" w:hAnsi="宋体" w:eastAsia="宋体"/>
          <w:b w:val="0"/>
          <w:color w:val="000000"/>
          <w:sz w:val="21"/>
        </w:rPr>
        <w:t>系统实现了登录、注册与重置密码页面。注册和重置密码页面均包含邮箱与邮箱验证码模块，前端在演示环境下直接显示验证码，后端接口完整预留SMTP扩展点。登录页简洁，隐藏演示管理员提示，仅保留账号与密码输入。</w:t>
      </w:r>
    </w:p>
    <w:p>
      <w:pPr>
        <w:spacing w:after="80"/>
        <w:jc w:val="center"/>
      </w:pPr>
      <w:r>
        <w:drawing>
          <wp:inline xmlns:a="http://schemas.openxmlformats.org/drawingml/2006/main" xmlns:pic="http://schemas.openxmlformats.org/drawingml/2006/picture">
            <wp:extent cx="5029200" cy="3771900"/>
            <wp:docPr id="4" name="Picture 4"/>
            <wp:cNvGraphicFramePr>
              <a:graphicFrameLocks noChangeAspect="1"/>
            </wp:cNvGraphicFramePr>
            <a:graphic>
              <a:graphicData uri="http://schemas.openxmlformats.org/drawingml/2006/picture">
                <pic:pic>
                  <pic:nvPicPr>
                    <pic:cNvPr id="0" name="ss_65d7adbd.png"/>
                    <pic:cNvPicPr/>
                  </pic:nvPicPr>
                  <pic:blipFill>
                    <a:blip r:embed="rId11"/>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图6-1  登录页面</w:t>
      </w:r>
    </w:p>
    <w:p>
      <w:pPr>
        <w:spacing w:after="80"/>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ss_6484ba47.png"/>
                    <pic:cNvPicPr/>
                  </pic:nvPicPr>
                  <pic:blipFill>
                    <a:blip r:embed="rId12"/>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图6-2  注册页面</w:t>
      </w:r>
    </w:p>
    <w:p>
      <w:pPr>
        <w:spacing w:after="80"/>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ss_7a55d6a7.png"/>
                    <pic:cNvPicPr/>
                  </pic:nvPicPr>
                  <pic:blipFill>
                    <a:blip r:embed="rId13"/>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图6-3  重置密码页面</w:t>
      </w:r>
    </w:p>
    <w:p>
      <w:pPr>
        <w:pStyle w:val="Heading2"/>
        <w:jc w:val="left"/>
      </w:pPr>
      <w:r>
        <w:rPr>
          <w:rFonts w:ascii="黑体" w:hAnsi="黑体" w:eastAsia="黑体"/>
          <w:b/>
          <w:color w:val="000000"/>
          <w:sz w:val="24"/>
        </w:rPr>
        <w:t>6.2  智能处理页面</w:t>
      </w:r>
    </w:p>
    <w:p>
      <w:pPr>
        <w:spacing w:line="360" w:lineRule="auto" w:after="120" w:before="0"/>
        <w:ind w:firstLine="420"/>
      </w:pPr>
      <w:r>
        <w:rPr>
          <w:rFonts w:ascii="宋体" w:hAnsi="宋体" w:eastAsia="宋体"/>
          <w:b w:val="0"/>
          <w:color w:val="000000"/>
          <w:sz w:val="21"/>
        </w:rPr>
        <w:t>智能处理页面是系统的核心功能页。用户选择示例或上传图片后，可配置噪声强度，点击'AI智能处理'。前端实时显示六个阶段：感知分析、AI分析意见与处理思路、AI调参方案、微调VT-BM3D、执行VT-BM3D、处理结果分析。SSE流式返回使AI分析看起来像是在逐字思考，提升交互体验。</w:t>
      </w:r>
    </w:p>
    <w:p>
      <w:pPr>
        <w:spacing w:after="80"/>
        <w:jc w:val="center"/>
      </w:pPr>
      <w:r>
        <w:drawing>
          <wp:inline xmlns:a="http://schemas.openxmlformats.org/drawingml/2006/main" xmlns:pic="http://schemas.openxmlformats.org/drawingml/2006/picture">
            <wp:extent cx="5029200" cy="3771900"/>
            <wp:docPr id="7" name="Picture 7"/>
            <wp:cNvGraphicFramePr>
              <a:graphicFrameLocks noChangeAspect="1"/>
            </wp:cNvGraphicFramePr>
            <a:graphic>
              <a:graphicData uri="http://schemas.openxmlformats.org/drawingml/2006/picture">
                <pic:pic>
                  <pic:nvPicPr>
                    <pic:cNvPr id="0" name="ss_6e7dd80b.png"/>
                    <pic:cNvPicPr/>
                  </pic:nvPicPr>
                  <pic:blipFill>
                    <a:blip r:embed="rId14"/>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图6-4  智能处理页面——示例选择与预览</w:t>
      </w:r>
    </w:p>
    <w:p>
      <w:pPr>
        <w:spacing w:after="80"/>
        <w:jc w:val="center"/>
      </w:pPr>
      <w:r>
        <w:drawing>
          <wp:inline xmlns:a="http://schemas.openxmlformats.org/drawingml/2006/main" xmlns:pic="http://schemas.openxmlformats.org/drawingml/2006/picture">
            <wp:extent cx="5029200" cy="3771900"/>
            <wp:docPr id="8" name="Picture 8"/>
            <wp:cNvGraphicFramePr>
              <a:graphicFrameLocks noChangeAspect="1"/>
            </wp:cNvGraphicFramePr>
            <a:graphic>
              <a:graphicData uri="http://schemas.openxmlformats.org/drawingml/2006/picture">
                <pic:pic>
                  <pic:nvPicPr>
                    <pic:cNvPr id="0" name="ss_e7c4b422.png"/>
                    <pic:cNvPicPr/>
                  </pic:nvPicPr>
                  <pic:blipFill>
                    <a:blip r:embed="rId15"/>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图6-5  AI处理过程——感知分析结果</w:t>
      </w:r>
    </w:p>
    <w:p>
      <w:pPr>
        <w:spacing w:after="80"/>
        <w:jc w:val="center"/>
      </w:pPr>
      <w:r>
        <w:drawing>
          <wp:inline xmlns:a="http://schemas.openxmlformats.org/drawingml/2006/main" xmlns:pic="http://schemas.openxmlformats.org/drawingml/2006/picture">
            <wp:extent cx="5029200" cy="3771900"/>
            <wp:docPr id="9" name="Picture 9"/>
            <wp:cNvGraphicFramePr>
              <a:graphicFrameLocks noChangeAspect="1"/>
            </wp:cNvGraphicFramePr>
            <a:graphic>
              <a:graphicData uri="http://schemas.openxmlformats.org/drawingml/2006/picture">
                <pic:pic>
                  <pic:nvPicPr>
                    <pic:cNvPr id="0" name="ss_a6dbfef6.png"/>
                    <pic:cNvPicPr/>
                  </pic:nvPicPr>
                  <pic:blipFill>
                    <a:blip r:embed="rId16"/>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图6-6  AI处理结果——含噪输入、参考、去噪输出与指标</w:t>
      </w:r>
    </w:p>
    <w:p>
      <w:pPr>
        <w:pStyle w:val="Heading2"/>
        <w:jc w:val="left"/>
      </w:pPr>
      <w:r>
        <w:rPr>
          <w:rFonts w:ascii="黑体" w:hAnsi="黑体" w:eastAsia="黑体"/>
          <w:b/>
          <w:color w:val="000000"/>
          <w:sz w:val="24"/>
        </w:rPr>
        <w:t>6.3  智能对话页面</w:t>
      </w:r>
    </w:p>
    <w:p>
      <w:pPr>
        <w:spacing w:line="360" w:lineRule="auto" w:after="120" w:before="0"/>
        <w:ind w:firstLine="420"/>
      </w:pPr>
      <w:r>
        <w:rPr>
          <w:rFonts w:ascii="宋体" w:hAnsi="宋体" w:eastAsia="宋体"/>
          <w:b w:val="0"/>
          <w:color w:val="000000"/>
          <w:sz w:val="21"/>
        </w:rPr>
        <w:t>智能对话页面采用全屏布局，快捷问题位于顶部，聊天框固定在底部。系统内置对话Agent可以根据用户问题调用LLM，也可以触发示例处理。右侧展示最近处理记录，方便用户快速查看历史。</w:t>
      </w:r>
    </w:p>
    <w:p>
      <w:pPr>
        <w:spacing w:after="80"/>
        <w:jc w:val="center"/>
      </w:pPr>
      <w:r>
        <w:drawing>
          <wp:inline xmlns:a="http://schemas.openxmlformats.org/drawingml/2006/main" xmlns:pic="http://schemas.openxmlformats.org/drawingml/2006/picture">
            <wp:extent cx="5029200" cy="3771900"/>
            <wp:docPr id="10" name="Picture 10"/>
            <wp:cNvGraphicFramePr>
              <a:graphicFrameLocks noChangeAspect="1"/>
            </wp:cNvGraphicFramePr>
            <a:graphic>
              <a:graphicData uri="http://schemas.openxmlformats.org/drawingml/2006/picture">
                <pic:pic>
                  <pic:nvPicPr>
                    <pic:cNvPr id="0" name="ss_a382c01f.png"/>
                    <pic:cNvPicPr/>
                  </pic:nvPicPr>
                  <pic:blipFill>
                    <a:blip r:embed="rId17"/>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图6-7  智能对话页面</w:t>
      </w:r>
    </w:p>
    <w:p>
      <w:pPr>
        <w:pStyle w:val="Heading2"/>
        <w:jc w:val="left"/>
      </w:pPr>
      <w:r>
        <w:rPr>
          <w:rFonts w:ascii="黑体" w:hAnsi="黑体" w:eastAsia="黑体"/>
          <w:b/>
          <w:color w:val="000000"/>
          <w:sz w:val="24"/>
        </w:rPr>
        <w:t>6.4  论文结果页面</w:t>
      </w:r>
    </w:p>
    <w:p>
      <w:pPr>
        <w:spacing w:line="360" w:lineRule="auto" w:after="120" w:before="0"/>
        <w:ind w:firstLine="420"/>
      </w:pPr>
      <w:r>
        <w:rPr>
          <w:rFonts w:ascii="宋体" w:hAnsi="宋体" w:eastAsia="宋体"/>
          <w:b w:val="0"/>
          <w:color w:val="000000"/>
          <w:sz w:val="21"/>
        </w:rPr>
        <w:t>论文结果页复现了VT-BM3D论文中的Set12/BSDS300 PSNR与SSIM对比（Table 2）、消融实验（Table 3）以及代表性图像结果。新增的Agent调参与未调参对比表，展示同一样本在默认参数与Agent调参后的平均指标差异。</w:t>
      </w:r>
    </w:p>
    <w:p>
      <w:pPr>
        <w:spacing w:after="80"/>
        <w:jc w:val="center"/>
      </w:pPr>
      <w:r>
        <w:drawing>
          <wp:inline xmlns:a="http://schemas.openxmlformats.org/drawingml/2006/main" xmlns:pic="http://schemas.openxmlformats.org/drawingml/2006/picture">
            <wp:extent cx="5029200" cy="3771900"/>
            <wp:docPr id="11" name="Picture 11"/>
            <wp:cNvGraphicFramePr>
              <a:graphicFrameLocks noChangeAspect="1"/>
            </wp:cNvGraphicFramePr>
            <a:graphic>
              <a:graphicData uri="http://schemas.openxmlformats.org/drawingml/2006/picture">
                <pic:pic>
                  <pic:nvPicPr>
                    <pic:cNvPr id="0" name="ss_bf0f81cc.png"/>
                    <pic:cNvPicPr/>
                  </pic:nvPicPr>
                  <pic:blipFill>
                    <a:blip r:embed="rId18"/>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图6-8  论文结果页——对比表与代表性图像</w:t>
      </w:r>
    </w:p>
    <w:p>
      <w:pPr>
        <w:pStyle w:val="Heading2"/>
        <w:jc w:val="left"/>
      </w:pPr>
      <w:r>
        <w:rPr>
          <w:rFonts w:ascii="黑体" w:hAnsi="黑体" w:eastAsia="黑体"/>
          <w:b/>
          <w:color w:val="000000"/>
          <w:sz w:val="24"/>
        </w:rPr>
        <w:t>6.5  算法评测页面</w:t>
      </w:r>
    </w:p>
    <w:p>
      <w:pPr>
        <w:spacing w:line="360" w:lineRule="auto" w:after="120" w:before="0"/>
        <w:ind w:firstLine="420"/>
      </w:pPr>
      <w:r>
        <w:rPr>
          <w:rFonts w:ascii="宋体" w:hAnsi="宋体" w:eastAsia="宋体"/>
          <w:b w:val="0"/>
          <w:color w:val="000000"/>
          <w:sz w:val="21"/>
        </w:rPr>
        <w:t>算法评测页以用户提供的VT-BM3D主架构图为主线，结合三个创新点的文字说明与参数表，用于课堂教学与论文答辩展示。</w:t>
      </w:r>
    </w:p>
    <w:p>
      <w:pPr>
        <w:spacing w:after="80"/>
        <w:jc w:val="center"/>
      </w:pPr>
      <w:r>
        <w:drawing>
          <wp:inline xmlns:a="http://schemas.openxmlformats.org/drawingml/2006/main" xmlns:pic="http://schemas.openxmlformats.org/drawingml/2006/picture">
            <wp:extent cx="5029200" cy="3771900"/>
            <wp:docPr id="12" name="Picture 12"/>
            <wp:cNvGraphicFramePr>
              <a:graphicFrameLocks noChangeAspect="1"/>
            </wp:cNvGraphicFramePr>
            <a:graphic>
              <a:graphicData uri="http://schemas.openxmlformats.org/drawingml/2006/picture">
                <pic:pic>
                  <pic:nvPicPr>
                    <pic:cNvPr id="0" name="ss_a5ae04df.png"/>
                    <pic:cNvPicPr/>
                  </pic:nvPicPr>
                  <pic:blipFill>
                    <a:blip r:embed="rId19"/>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图6-9  算法评测页——VT-BM3D主架构</w:t>
      </w:r>
    </w:p>
    <w:p>
      <w:pPr>
        <w:pStyle w:val="Heading2"/>
        <w:jc w:val="left"/>
      </w:pPr>
      <w:r>
        <w:rPr>
          <w:rFonts w:ascii="黑体" w:hAnsi="黑体" w:eastAsia="黑体"/>
          <w:b/>
          <w:color w:val="000000"/>
          <w:sz w:val="24"/>
        </w:rPr>
        <w:t>6.6  API监控页面</w:t>
      </w:r>
    </w:p>
    <w:p>
      <w:pPr>
        <w:spacing w:line="360" w:lineRule="auto" w:after="120" w:before="0"/>
        <w:ind w:firstLine="420"/>
      </w:pPr>
      <w:r>
        <w:rPr>
          <w:rFonts w:ascii="宋体" w:hAnsi="宋体" w:eastAsia="宋体"/>
          <w:b w:val="0"/>
          <w:color w:val="000000"/>
          <w:sz w:val="21"/>
        </w:rPr>
        <w:t>API监控页聚合了今日Token、调用次数、费用、近7天统计、平均响应、调用趋势、模型配置、单次最大Token限额与近5次调用详情，帮助用户控制API成本。</w:t>
      </w:r>
    </w:p>
    <w:p>
      <w:pPr>
        <w:spacing w:after="80"/>
        <w:jc w:val="center"/>
      </w:pPr>
      <w:r>
        <w:drawing>
          <wp:inline xmlns:a="http://schemas.openxmlformats.org/drawingml/2006/main" xmlns:pic="http://schemas.openxmlformats.org/drawingml/2006/picture">
            <wp:extent cx="5029200" cy="3771900"/>
            <wp:docPr id="13" name="Picture 13"/>
            <wp:cNvGraphicFramePr>
              <a:graphicFrameLocks noChangeAspect="1"/>
            </wp:cNvGraphicFramePr>
            <a:graphic>
              <a:graphicData uri="http://schemas.openxmlformats.org/drawingml/2006/picture">
                <pic:pic>
                  <pic:nvPicPr>
                    <pic:cNvPr id="0" name="ss_be603680.png"/>
                    <pic:cNvPicPr/>
                  </pic:nvPicPr>
                  <pic:blipFill>
                    <a:blip r:embed="rId20"/>
                    <a:stretch>
                      <a:fillRect/>
                    </a:stretch>
                  </pic:blipFill>
                  <pic:spPr>
                    <a:xfrm>
                      <a:off x="0" y="0"/>
                      <a:ext cx="5029200" cy="3771900"/>
                    </a:xfrm>
                    <a:prstGeom prst="rect"/>
                  </pic:spPr>
                </pic:pic>
              </a:graphicData>
            </a:graphic>
          </wp:inline>
        </w:drawing>
      </w:r>
    </w:p>
    <w:p>
      <w:pPr>
        <w:spacing w:after="160"/>
        <w:jc w:val="center"/>
      </w:pPr>
      <w:r>
        <w:rPr>
          <w:rFonts w:ascii="宋体" w:hAnsi="宋体" w:eastAsia="宋体"/>
          <w:b w:val="0"/>
          <w:color w:val="505050"/>
          <w:sz w:val="20"/>
        </w:rPr>
        <w:t>图6-10  API监控页面</w:t>
      </w:r>
    </w:p>
    <w:p>
      <w:pPr>
        <w:pStyle w:val="Heading2"/>
        <w:jc w:val="left"/>
      </w:pPr>
      <w:r>
        <w:rPr>
          <w:rFonts w:ascii="黑体" w:hAnsi="黑体" w:eastAsia="黑体"/>
          <w:b/>
          <w:color w:val="000000"/>
          <w:sz w:val="24"/>
        </w:rPr>
        <w:t>6.7  核心代码展示</w:t>
      </w:r>
    </w:p>
    <w:p>
      <w:pPr>
        <w:spacing w:line="360" w:lineRule="auto" w:after="120" w:before="0"/>
        <w:ind w:firstLine="420"/>
      </w:pPr>
      <w:r>
        <w:rPr>
          <w:rFonts w:ascii="宋体" w:hAnsi="宋体" w:eastAsia="宋体"/>
          <w:b w:val="0"/>
          <w:color w:val="000000"/>
          <w:sz w:val="21"/>
        </w:rPr>
        <w:t>（1）四个子Agent的职责划分：</w:t>
      </w:r>
    </w:p>
    <w:p>
      <w:pPr>
        <w:spacing w:line="240" w:lineRule="auto" w:after="80"/>
        <w:ind w:firstLine="0" w:left="283"/>
      </w:pPr>
      <w:r>
        <w:rPr>
          <w:rFonts w:ascii="Consolas" w:hAnsi="Consolas" w:eastAsia="Consolas"/>
          <w:b w:val="0"/>
          <w:color w:val="1E1E1E"/>
          <w:sz w:val="16"/>
        </w:rPr>
        <w:t>class PerceptionAgent:</w:t>
        <w:br/>
        <w:t xml:space="preserve">    def run(self, image, filename=""):</w:t>
        <w:br/>
        <w:t xml:space="preserve">        return analysis.analyze_image(image, filename)</w:t>
        <w:br/>
        <w:br/>
        <w:t>class PlanningAgent:</w:t>
        <w:br/>
        <w:t xml:space="preserve">    def run(self, perception):</w:t>
        <w:br/>
        <w:t xml:space="preserve">        similar = self.memory.find_similar(perception)</w:t>
        <w:br/>
        <w:t xml:space="preserve">        skills_context = self.skills.get("denoise-strategy")</w:t>
        <w:br/>
        <w:t xml:space="preserve">        return make_plan(perception, similar, skills_context)</w:t>
        <w:br/>
        <w:br/>
        <w:t>class ExecutionAgent:</w:t>
        <w:br/>
        <w:t xml:space="preserve">    def run(self, executor, plan):</w:t>
        <w:br/>
        <w:t xml:space="preserve">        for step in plan:</w:t>
        <w:br/>
        <w:t xml:space="preserve">            executor.execute(step["tool"], step.get("args", {}))</w:t>
        <w:br/>
        <w:t xml:space="preserve">        return executor.trace</w:t>
        <w:br/>
        <w:br/>
        <w:t>class EvaluationAgent:</w:t>
        <w:br/>
        <w:t xml:space="preserve">    def run(self, executor):</w:t>
        <w:br/>
        <w:t xml:space="preserve">        result = metrics.no_reference_metrics(executor.current)</w:t>
        <w:br/>
        <w:t xml:space="preserve">        if executor.reference is not None:</w:t>
        <w:br/>
        <w:t xml:space="preserve">            target = executor.denoised or executor.current</w:t>
        <w:br/>
        <w:t xml:space="preserve">            result.update(metrics.full_reference_metrics(executor.reference, target))</w:t>
        <w:br/>
        <w:t xml:space="preserve">        return result</w:t>
      </w:r>
    </w:p>
    <w:p>
      <w:pPr>
        <w:spacing w:line="360" w:lineRule="auto" w:after="120" w:before="0"/>
        <w:ind w:firstLine="420"/>
      </w:pPr>
      <w:r>
        <w:rPr>
          <w:rFonts w:ascii="宋体" w:hAnsi="宋体" w:eastAsia="宋体"/>
          <w:b w:val="0"/>
          <w:color w:val="000000"/>
          <w:sz w:val="21"/>
        </w:rPr>
        <w:t>（2）协调Agent的迭代闭环：</w:t>
      </w:r>
    </w:p>
    <w:p>
      <w:pPr>
        <w:spacing w:line="240" w:lineRule="auto" w:after="80"/>
        <w:ind w:firstLine="0" w:left="283"/>
      </w:pPr>
      <w:r>
        <w:rPr>
          <w:rFonts w:ascii="Consolas" w:hAnsi="Consolas" w:eastAsia="Consolas"/>
          <w:b w:val="0"/>
          <w:color w:val="1E1E1E"/>
          <w:sz w:val="16"/>
        </w:rPr>
        <w:t>class Coordinator:</w:t>
        <w:br/>
        <w:t xml:space="preserve">    def process(self, image, reference=None, filename=""):</w:t>
        <w:br/>
        <w:t xml:space="preserve">        perception = self.perception_agent.run(image, filename)</w:t>
        <w:br/>
        <w:t xml:space="preserve">        for iteration in range(1, self.max_iterations + 1):</w:t>
        <w:br/>
        <w:t xml:space="preserve">            plan, _ = self.planning_agent.run(perception)</w:t>
        <w:br/>
        <w:t xml:space="preserve">            executor = ToolExecutor(image, reference, filename)</w:t>
        <w:br/>
        <w:t xml:space="preserve">            self.execution_agent.run(executor, plan)</w:t>
        <w:br/>
        <w:t xml:space="preserve">            evaluation = self.evaluation_agent.run(executor)</w:t>
        <w:br/>
        <w:t xml:space="preserve">            if self.evaluation_agent.is_satisfactory(evaluation):</w:t>
        <w:br/>
        <w:t xml:space="preserve">                break</w:t>
        <w:br/>
        <w:t xml:space="preserve">            plan = self.evaluation_agent.suggest_refinement(evaluation, plan)</w:t>
        <w:br/>
        <w:t xml:space="preserve">        return {"output": executor.current, "evaluation": evaluation, "trace": executor.trace}</w:t>
      </w:r>
    </w:p>
    <w:p>
      <w:pPr>
        <w:spacing w:line="360" w:lineRule="auto" w:after="120" w:before="0"/>
        <w:ind w:firstLine="420"/>
      </w:pPr>
      <w:r>
        <w:rPr>
          <w:rFonts w:ascii="宋体" w:hAnsi="宋体" w:eastAsia="宋体"/>
          <w:b w:val="0"/>
          <w:color w:val="000000"/>
          <w:sz w:val="21"/>
        </w:rPr>
        <w:t>（3）VT-BM3D去噪核心实现：</w:t>
      </w:r>
    </w:p>
    <w:p>
      <w:pPr>
        <w:spacing w:line="240" w:lineRule="auto" w:after="80"/>
        <w:ind w:firstLine="0" w:left="283"/>
      </w:pPr>
      <w:r>
        <w:rPr>
          <w:rFonts w:ascii="Consolas" w:hAnsi="Consolas" w:eastAsia="Consolas"/>
          <w:b w:val="0"/>
          <w:color w:val="1E1E1E"/>
          <w:sz w:val="16"/>
        </w:rPr>
        <w:t>def vt_bm3d_denoise(image, sigma=15.0, alpha=0.4, beta_tensor=0.6, texture_boost=1.4):</w:t>
        <w:br/>
        <w:t xml:space="preserve">    var_map = local_variance(image)</w:t>
        <w:br/>
        <w:t xml:space="preserve">    coherence = structure_tensor_eig(image)</w:t>
        <w:br/>
        <w:t xml:space="preserve">    saliency = alpha * var_map + beta_tensor * coherence</w:t>
        <w:br/>
        <w:t xml:space="preserve">    strong = bm3d_denoise(image, sigma * 1.15)</w:t>
        <w:br/>
        <w:t xml:space="preserve">    weak = bm3d_denoise(image, sigma / texture_boost)</w:t>
        <w:br/>
        <w:t xml:space="preserve">    fused = (1.0 - saliency) * strong + saliency * weak</w:t>
        <w:br/>
        <w:t xml:space="preserve">    return np.clip(fused, 0, 1)</w:t>
      </w:r>
    </w:p>
    <w:p>
      <w:r>
        <w:br w:type="page"/>
      </w:r>
    </w:p>
    <w:p>
      <w:pPr>
        <w:pStyle w:val="Heading1"/>
        <w:jc w:val="left"/>
      </w:pPr>
      <w:r>
        <w:rPr>
          <w:rFonts w:ascii="黑体" w:hAnsi="黑体" w:eastAsia="黑体"/>
          <w:b/>
          <w:color w:val="000000"/>
          <w:sz w:val="28"/>
        </w:rPr>
        <w:t>7  系统测试</w:t>
      </w:r>
    </w:p>
    <w:p>
      <w:pPr>
        <w:pStyle w:val="Heading2"/>
        <w:jc w:val="left"/>
      </w:pPr>
      <w:r>
        <w:rPr>
          <w:rFonts w:ascii="黑体" w:hAnsi="黑体" w:eastAsia="黑体"/>
          <w:b/>
          <w:color w:val="000000"/>
          <w:sz w:val="24"/>
        </w:rPr>
        <w:t>7.1  测试环境</w:t>
      </w:r>
    </w:p>
    <w:tbl>
      <w:tblPr>
        <w:tblStyle w:val="TableGrid"/>
        <w:tblW w:type="auto" w:w="0"/>
        <w:tblLook w:firstColumn="1" w:firstRow="1" w:lastColumn="0" w:lastRow="0" w:noHBand="0" w:noVBand="1" w:val="04A0"/>
      </w:tblPr>
      <w:tblGrid>
        <w:gridCol w:w="4156"/>
        <w:gridCol w:w="4156"/>
      </w:tblGrid>
      <w:tr>
        <w:tc>
          <w:tcPr>
            <w:tcW w:type="dxa" w:w="4156"/>
          </w:tcPr>
          <w:p>
            <w:pPr>
              <w:jc w:val="center"/>
            </w:pPr>
            <w:r>
              <w:rPr>
                <w:rFonts w:ascii="黑体" w:hAnsi="黑体" w:eastAsia="黑体"/>
                <w:b/>
                <w:color w:val="000000"/>
                <w:sz w:val="20"/>
              </w:rPr>
              <w:t>项目</w:t>
            </w:r>
          </w:p>
        </w:tc>
        <w:tc>
          <w:tcPr>
            <w:tcW w:type="dxa" w:w="4156"/>
          </w:tcPr>
          <w:p>
            <w:pPr>
              <w:jc w:val="center"/>
            </w:pPr>
            <w:r>
              <w:rPr>
                <w:rFonts w:ascii="黑体" w:hAnsi="黑体" w:eastAsia="黑体"/>
                <w:b/>
                <w:color w:val="000000"/>
                <w:sz w:val="20"/>
              </w:rPr>
              <w:t>配置</w:t>
            </w:r>
          </w:p>
        </w:tc>
      </w:tr>
      <w:tr>
        <w:tc>
          <w:tcPr>
            <w:tcW w:type="dxa" w:w="4156"/>
          </w:tcPr>
          <w:p>
            <w:pPr>
              <w:jc w:val="center"/>
            </w:pPr>
            <w:r>
              <w:rPr>
                <w:rFonts w:ascii="宋体" w:hAnsi="宋体" w:eastAsia="宋体"/>
                <w:b w:val="0"/>
                <w:color w:val="000000"/>
                <w:sz w:val="20"/>
              </w:rPr>
              <w:t>服务器</w:t>
            </w:r>
          </w:p>
        </w:tc>
        <w:tc>
          <w:tcPr>
            <w:tcW w:type="dxa" w:w="4156"/>
          </w:tcPr>
          <w:p>
            <w:pPr>
              <w:jc w:val="center"/>
            </w:pPr>
            <w:r>
              <w:rPr>
                <w:rFonts w:ascii="宋体" w:hAnsi="宋体" w:eastAsia="宋体"/>
                <w:b w:val="0"/>
                <w:color w:val="000000"/>
                <w:sz w:val="20"/>
              </w:rPr>
              <w:t>本地开发机 / Ubuntu 22.04</w:t>
            </w:r>
          </w:p>
        </w:tc>
      </w:tr>
      <w:tr>
        <w:tc>
          <w:tcPr>
            <w:tcW w:type="dxa" w:w="4156"/>
          </w:tcPr>
          <w:p>
            <w:pPr>
              <w:jc w:val="center"/>
            </w:pPr>
            <w:r>
              <w:rPr>
                <w:rFonts w:ascii="宋体" w:hAnsi="宋体" w:eastAsia="宋体"/>
                <w:b w:val="0"/>
                <w:color w:val="000000"/>
                <w:sz w:val="20"/>
              </w:rPr>
              <w:t>CPU</w:t>
            </w:r>
          </w:p>
        </w:tc>
        <w:tc>
          <w:tcPr>
            <w:tcW w:type="dxa" w:w="4156"/>
          </w:tcPr>
          <w:p>
            <w:pPr>
              <w:jc w:val="center"/>
            </w:pPr>
            <w:r>
              <w:rPr>
                <w:rFonts w:ascii="宋体" w:hAnsi="宋体" w:eastAsia="宋体"/>
                <w:b w:val="0"/>
                <w:color w:val="000000"/>
                <w:sz w:val="20"/>
              </w:rPr>
              <w:t>x86_64</w:t>
            </w:r>
          </w:p>
        </w:tc>
      </w:tr>
      <w:tr>
        <w:tc>
          <w:tcPr>
            <w:tcW w:type="dxa" w:w="4156"/>
          </w:tcPr>
          <w:p>
            <w:pPr>
              <w:jc w:val="center"/>
            </w:pPr>
            <w:r>
              <w:rPr>
                <w:rFonts w:ascii="宋体" w:hAnsi="宋体" w:eastAsia="宋体"/>
                <w:b w:val="0"/>
                <w:color w:val="000000"/>
                <w:sz w:val="20"/>
              </w:rPr>
              <w:t>Python</w:t>
            </w:r>
          </w:p>
        </w:tc>
        <w:tc>
          <w:tcPr>
            <w:tcW w:type="dxa" w:w="4156"/>
          </w:tcPr>
          <w:p>
            <w:pPr>
              <w:jc w:val="center"/>
            </w:pPr>
            <w:r>
              <w:rPr>
                <w:rFonts w:ascii="宋体" w:hAnsi="宋体" w:eastAsia="宋体"/>
                <w:b w:val="0"/>
                <w:color w:val="000000"/>
                <w:sz w:val="20"/>
              </w:rPr>
              <w:t>3.11</w:t>
            </w:r>
          </w:p>
        </w:tc>
      </w:tr>
      <w:tr>
        <w:tc>
          <w:tcPr>
            <w:tcW w:type="dxa" w:w="4156"/>
          </w:tcPr>
          <w:p>
            <w:pPr>
              <w:jc w:val="center"/>
            </w:pPr>
            <w:r>
              <w:rPr>
                <w:rFonts w:ascii="宋体" w:hAnsi="宋体" w:eastAsia="宋体"/>
                <w:b w:val="0"/>
                <w:color w:val="000000"/>
                <w:sz w:val="20"/>
              </w:rPr>
              <w:t>浏览器</w:t>
            </w:r>
          </w:p>
        </w:tc>
        <w:tc>
          <w:tcPr>
            <w:tcW w:type="dxa" w:w="4156"/>
          </w:tcPr>
          <w:p>
            <w:pPr>
              <w:jc w:val="center"/>
            </w:pPr>
            <w:r>
              <w:rPr>
                <w:rFonts w:ascii="宋体" w:hAnsi="宋体" w:eastAsia="宋体"/>
                <w:b w:val="0"/>
                <w:color w:val="000000"/>
                <w:sz w:val="20"/>
              </w:rPr>
              <w:t>Chrome</w:t>
            </w:r>
          </w:p>
        </w:tc>
      </w:tr>
      <w:tr>
        <w:tc>
          <w:tcPr>
            <w:tcW w:type="dxa" w:w="4156"/>
          </w:tcPr>
          <w:p>
            <w:pPr>
              <w:jc w:val="center"/>
            </w:pPr>
            <w:r>
              <w:rPr>
                <w:rFonts w:ascii="宋体" w:hAnsi="宋体" w:eastAsia="宋体"/>
                <w:b w:val="0"/>
                <w:color w:val="000000"/>
                <w:sz w:val="20"/>
              </w:rPr>
              <w:t>LLM</w:t>
            </w:r>
          </w:p>
        </w:tc>
        <w:tc>
          <w:tcPr>
            <w:tcW w:type="dxa" w:w="4156"/>
          </w:tcPr>
          <w:p>
            <w:pPr>
              <w:jc w:val="center"/>
            </w:pPr>
            <w:r>
              <w:rPr>
                <w:rFonts w:ascii="宋体" w:hAnsi="宋体" w:eastAsia="宋体"/>
                <w:b w:val="0"/>
                <w:color w:val="000000"/>
                <w:sz w:val="20"/>
              </w:rPr>
              <w:t>gpt-5.4 via https://allincode.top</w:t>
            </w:r>
          </w:p>
        </w:tc>
      </w:tr>
    </w:tbl>
    <w:p/>
    <w:p>
      <w:pPr>
        <w:pStyle w:val="Heading2"/>
        <w:jc w:val="left"/>
      </w:pPr>
      <w:r>
        <w:rPr>
          <w:rFonts w:ascii="黑体" w:hAnsi="黑体" w:eastAsia="黑体"/>
          <w:b/>
          <w:color w:val="000000"/>
          <w:sz w:val="24"/>
        </w:rPr>
        <w:t>7.2  功能测试</w:t>
      </w:r>
    </w:p>
    <w:tbl>
      <w:tblPr>
        <w:tblStyle w:val="TableGrid"/>
        <w:tblW w:type="auto" w:w="0"/>
        <w:tblLook w:firstColumn="1" w:firstRow="1" w:lastColumn="0" w:lastRow="0" w:noHBand="0" w:noVBand="1" w:val="04A0"/>
      </w:tblPr>
      <w:tblGrid>
        <w:gridCol w:w="2771"/>
        <w:gridCol w:w="2771"/>
        <w:gridCol w:w="2771"/>
      </w:tblGrid>
      <w:tr>
        <w:tc>
          <w:tcPr>
            <w:tcW w:type="dxa" w:w="2771"/>
          </w:tcPr>
          <w:p>
            <w:pPr>
              <w:jc w:val="center"/>
            </w:pPr>
            <w:r>
              <w:rPr>
                <w:rFonts w:ascii="黑体" w:hAnsi="黑体" w:eastAsia="黑体"/>
                <w:b/>
                <w:color w:val="000000"/>
                <w:sz w:val="20"/>
              </w:rPr>
              <w:t>功能</w:t>
            </w:r>
          </w:p>
        </w:tc>
        <w:tc>
          <w:tcPr>
            <w:tcW w:type="dxa" w:w="2771"/>
          </w:tcPr>
          <w:p>
            <w:pPr>
              <w:jc w:val="center"/>
            </w:pPr>
            <w:r>
              <w:rPr>
                <w:rFonts w:ascii="黑体" w:hAnsi="黑体" w:eastAsia="黑体"/>
                <w:b/>
                <w:color w:val="000000"/>
                <w:sz w:val="20"/>
              </w:rPr>
              <w:t>测试项</w:t>
            </w:r>
          </w:p>
        </w:tc>
        <w:tc>
          <w:tcPr>
            <w:tcW w:type="dxa" w:w="2771"/>
          </w:tcPr>
          <w:p>
            <w:pPr>
              <w:jc w:val="center"/>
            </w:pPr>
            <w:r>
              <w:rPr>
                <w:rFonts w:ascii="黑体" w:hAnsi="黑体" w:eastAsia="黑体"/>
                <w:b/>
                <w:color w:val="000000"/>
                <w:sz w:val="20"/>
              </w:rPr>
              <w:t>结果</w:t>
            </w:r>
          </w:p>
        </w:tc>
      </w:tr>
      <w:tr>
        <w:tc>
          <w:tcPr>
            <w:tcW w:type="dxa" w:w="2771"/>
          </w:tcPr>
          <w:p>
            <w:pPr>
              <w:jc w:val="center"/>
            </w:pPr>
            <w:r>
              <w:rPr>
                <w:rFonts w:ascii="宋体" w:hAnsi="宋体" w:eastAsia="宋体"/>
                <w:b w:val="0"/>
                <w:color w:val="000000"/>
                <w:sz w:val="20"/>
              </w:rPr>
              <w:t>注册登录</w:t>
            </w:r>
          </w:p>
        </w:tc>
        <w:tc>
          <w:tcPr>
            <w:tcW w:type="dxa" w:w="2771"/>
          </w:tcPr>
          <w:p>
            <w:pPr>
              <w:jc w:val="center"/>
            </w:pPr>
            <w:r>
              <w:rPr>
                <w:rFonts w:ascii="宋体" w:hAnsi="宋体" w:eastAsia="宋体"/>
                <w:b w:val="0"/>
                <w:color w:val="000000"/>
                <w:sz w:val="20"/>
              </w:rPr>
              <w:t>注册、登录、Token持久化</w:t>
            </w:r>
          </w:p>
        </w:tc>
        <w:tc>
          <w:tcPr>
            <w:tcW w:type="dxa" w:w="2771"/>
          </w:tcPr>
          <w:p>
            <w:pPr>
              <w:jc w:val="center"/>
            </w:pPr>
            <w:r>
              <w:rPr>
                <w:rFonts w:ascii="宋体" w:hAnsi="宋体" w:eastAsia="宋体"/>
                <w:b w:val="0"/>
                <w:color w:val="000000"/>
                <w:sz w:val="20"/>
              </w:rPr>
              <w:t>通过</w:t>
            </w:r>
          </w:p>
        </w:tc>
      </w:tr>
      <w:tr>
        <w:tc>
          <w:tcPr>
            <w:tcW w:type="dxa" w:w="2771"/>
          </w:tcPr>
          <w:p>
            <w:pPr>
              <w:jc w:val="center"/>
            </w:pPr>
            <w:r>
              <w:rPr>
                <w:rFonts w:ascii="宋体" w:hAnsi="宋体" w:eastAsia="宋体"/>
                <w:b w:val="0"/>
                <w:color w:val="000000"/>
                <w:sz w:val="20"/>
              </w:rPr>
              <w:t>样本去噪</w:t>
            </w:r>
          </w:p>
        </w:tc>
        <w:tc>
          <w:tcPr>
            <w:tcW w:type="dxa" w:w="2771"/>
          </w:tcPr>
          <w:p>
            <w:pPr>
              <w:jc w:val="center"/>
            </w:pPr>
            <w:r>
              <w:rPr>
                <w:rFonts w:ascii="宋体" w:hAnsi="宋体" w:eastAsia="宋体"/>
                <w:b w:val="0"/>
                <w:color w:val="000000"/>
                <w:sz w:val="20"/>
              </w:rPr>
              <w:t>选择医学影像示例并点击标准/AI处理</w:t>
            </w:r>
          </w:p>
        </w:tc>
        <w:tc>
          <w:tcPr>
            <w:tcW w:type="dxa" w:w="2771"/>
          </w:tcPr>
          <w:p>
            <w:pPr>
              <w:jc w:val="center"/>
            </w:pPr>
            <w:r>
              <w:rPr>
                <w:rFonts w:ascii="宋体" w:hAnsi="宋体" w:eastAsia="宋体"/>
                <w:b w:val="0"/>
                <w:color w:val="000000"/>
                <w:sz w:val="20"/>
              </w:rPr>
              <w:t>通过</w:t>
            </w:r>
          </w:p>
        </w:tc>
      </w:tr>
      <w:tr>
        <w:tc>
          <w:tcPr>
            <w:tcW w:type="dxa" w:w="2771"/>
          </w:tcPr>
          <w:p>
            <w:pPr>
              <w:jc w:val="center"/>
            </w:pPr>
            <w:r>
              <w:rPr>
                <w:rFonts w:ascii="宋体" w:hAnsi="宋体" w:eastAsia="宋体"/>
                <w:b w:val="0"/>
                <w:color w:val="000000"/>
                <w:sz w:val="20"/>
              </w:rPr>
              <w:t>SSE流式</w:t>
            </w:r>
          </w:p>
        </w:tc>
        <w:tc>
          <w:tcPr>
            <w:tcW w:type="dxa" w:w="2771"/>
          </w:tcPr>
          <w:p>
            <w:pPr>
              <w:jc w:val="center"/>
            </w:pPr>
            <w:r>
              <w:rPr>
                <w:rFonts w:ascii="宋体" w:hAnsi="宋体" w:eastAsia="宋体"/>
                <w:b w:val="0"/>
                <w:color w:val="000000"/>
                <w:sz w:val="20"/>
              </w:rPr>
              <w:t>AI处理时六个阶段逐步展示</w:t>
            </w:r>
          </w:p>
        </w:tc>
        <w:tc>
          <w:tcPr>
            <w:tcW w:type="dxa" w:w="2771"/>
          </w:tcPr>
          <w:p>
            <w:pPr>
              <w:jc w:val="center"/>
            </w:pPr>
            <w:r>
              <w:rPr>
                <w:rFonts w:ascii="宋体" w:hAnsi="宋体" w:eastAsia="宋体"/>
                <w:b w:val="0"/>
                <w:color w:val="000000"/>
                <w:sz w:val="20"/>
              </w:rPr>
              <w:t>通过</w:t>
            </w:r>
          </w:p>
        </w:tc>
      </w:tr>
      <w:tr>
        <w:tc>
          <w:tcPr>
            <w:tcW w:type="dxa" w:w="2771"/>
          </w:tcPr>
          <w:p>
            <w:pPr>
              <w:jc w:val="center"/>
            </w:pPr>
            <w:r>
              <w:rPr>
                <w:rFonts w:ascii="宋体" w:hAnsi="宋体" w:eastAsia="宋体"/>
                <w:b w:val="0"/>
                <w:color w:val="000000"/>
                <w:sz w:val="20"/>
              </w:rPr>
              <w:t>智能对话</w:t>
            </w:r>
          </w:p>
        </w:tc>
        <w:tc>
          <w:tcPr>
            <w:tcW w:type="dxa" w:w="2771"/>
          </w:tcPr>
          <w:p>
            <w:pPr>
              <w:jc w:val="center"/>
            </w:pPr>
            <w:r>
              <w:rPr>
                <w:rFonts w:ascii="宋体" w:hAnsi="宋体" w:eastAsia="宋体"/>
                <w:b w:val="0"/>
                <w:color w:val="000000"/>
                <w:sz w:val="20"/>
              </w:rPr>
              <w:t>快捷问题与自由提问</w:t>
            </w:r>
          </w:p>
        </w:tc>
        <w:tc>
          <w:tcPr>
            <w:tcW w:type="dxa" w:w="2771"/>
          </w:tcPr>
          <w:p>
            <w:pPr>
              <w:jc w:val="center"/>
            </w:pPr>
            <w:r>
              <w:rPr>
                <w:rFonts w:ascii="宋体" w:hAnsi="宋体" w:eastAsia="宋体"/>
                <w:b w:val="0"/>
                <w:color w:val="000000"/>
                <w:sz w:val="20"/>
              </w:rPr>
              <w:t>通过</w:t>
            </w:r>
          </w:p>
        </w:tc>
      </w:tr>
      <w:tr>
        <w:tc>
          <w:tcPr>
            <w:tcW w:type="dxa" w:w="2771"/>
          </w:tcPr>
          <w:p>
            <w:pPr>
              <w:jc w:val="center"/>
            </w:pPr>
            <w:r>
              <w:rPr>
                <w:rFonts w:ascii="宋体" w:hAnsi="宋体" w:eastAsia="宋体"/>
                <w:b w:val="0"/>
                <w:color w:val="000000"/>
                <w:sz w:val="20"/>
              </w:rPr>
              <w:t>论文结果</w:t>
            </w:r>
          </w:p>
        </w:tc>
        <w:tc>
          <w:tcPr>
            <w:tcW w:type="dxa" w:w="2771"/>
          </w:tcPr>
          <w:p>
            <w:pPr>
              <w:jc w:val="center"/>
            </w:pPr>
            <w:r>
              <w:rPr>
                <w:rFonts w:ascii="宋体" w:hAnsi="宋体" w:eastAsia="宋体"/>
                <w:b w:val="0"/>
                <w:color w:val="000000"/>
                <w:sz w:val="20"/>
              </w:rPr>
              <w:t>Table 2/3、代表性图像与对比表渲染</w:t>
            </w:r>
          </w:p>
        </w:tc>
        <w:tc>
          <w:tcPr>
            <w:tcW w:type="dxa" w:w="2771"/>
          </w:tcPr>
          <w:p>
            <w:pPr>
              <w:jc w:val="center"/>
            </w:pPr>
            <w:r>
              <w:rPr>
                <w:rFonts w:ascii="宋体" w:hAnsi="宋体" w:eastAsia="宋体"/>
                <w:b w:val="0"/>
                <w:color w:val="000000"/>
                <w:sz w:val="20"/>
              </w:rPr>
              <w:t>通过</w:t>
            </w:r>
          </w:p>
        </w:tc>
      </w:tr>
      <w:tr>
        <w:tc>
          <w:tcPr>
            <w:tcW w:type="dxa" w:w="2771"/>
          </w:tcPr>
          <w:p>
            <w:pPr>
              <w:jc w:val="center"/>
            </w:pPr>
            <w:r>
              <w:rPr>
                <w:rFonts w:ascii="宋体" w:hAnsi="宋体" w:eastAsia="宋体"/>
                <w:b w:val="0"/>
                <w:color w:val="000000"/>
                <w:sz w:val="20"/>
              </w:rPr>
              <w:t>API监控</w:t>
            </w:r>
          </w:p>
        </w:tc>
        <w:tc>
          <w:tcPr>
            <w:tcW w:type="dxa" w:w="2771"/>
          </w:tcPr>
          <w:p>
            <w:pPr>
              <w:jc w:val="center"/>
            </w:pPr>
            <w:r>
              <w:rPr>
                <w:rFonts w:ascii="宋体" w:hAnsi="宋体" w:eastAsia="宋体"/>
                <w:b w:val="0"/>
                <w:color w:val="000000"/>
                <w:sz w:val="20"/>
              </w:rPr>
              <w:t>统计卡片、趋势图、模型配置与限额</w:t>
            </w:r>
          </w:p>
        </w:tc>
        <w:tc>
          <w:tcPr>
            <w:tcW w:type="dxa" w:w="2771"/>
          </w:tcPr>
          <w:p>
            <w:pPr>
              <w:jc w:val="center"/>
            </w:pPr>
            <w:r>
              <w:rPr>
                <w:rFonts w:ascii="宋体" w:hAnsi="宋体" w:eastAsia="宋体"/>
                <w:b w:val="0"/>
                <w:color w:val="000000"/>
                <w:sz w:val="20"/>
              </w:rPr>
              <w:t>通过</w:t>
            </w:r>
          </w:p>
        </w:tc>
      </w:tr>
    </w:tbl>
    <w:p/>
    <w:p>
      <w:pPr>
        <w:pStyle w:val="Heading2"/>
        <w:jc w:val="left"/>
      </w:pPr>
      <w:r>
        <w:rPr>
          <w:rFonts w:ascii="黑体" w:hAnsi="黑体" w:eastAsia="黑体"/>
          <w:b/>
          <w:color w:val="000000"/>
          <w:sz w:val="24"/>
        </w:rPr>
        <w:t>7.3  AI处理性能测试</w:t>
      </w:r>
    </w:p>
    <w:p>
      <w:pPr>
        <w:spacing w:line="360" w:lineRule="auto" w:after="120" w:before="0"/>
        <w:ind w:firstLine="420"/>
      </w:pPr>
      <w:r>
        <w:rPr>
          <w:rFonts w:ascii="宋体" w:hAnsi="宋体" w:eastAsia="宋体"/>
          <w:b w:val="0"/>
          <w:color w:val="000000"/>
          <w:sz w:val="21"/>
        </w:rPr>
        <w:t>在本地环境下，对细胞显微图进行AI处理，感知Agent约1秒；LLM分析与调参约22-25秒；VT-BM3D执行约2-4秒；结果分析LLM约8-10秒；总耗时约35-40秒。通过移除一次单独的LLM微调调用，总耗时较原始缩短约23秒。</w:t>
      </w:r>
    </w:p>
    <w:p>
      <w:pPr>
        <w:pStyle w:val="Heading2"/>
        <w:jc w:val="left"/>
      </w:pPr>
      <w:r>
        <w:rPr>
          <w:rFonts w:ascii="黑体" w:hAnsi="黑体" w:eastAsia="黑体"/>
          <w:b/>
          <w:color w:val="000000"/>
          <w:sz w:val="24"/>
        </w:rPr>
        <w:t>7.4  医学影像Agent调参对比</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tcPr>
          <w:p>
            <w:pPr>
              <w:jc w:val="center"/>
            </w:pPr>
            <w:r>
              <w:rPr>
                <w:rFonts w:ascii="黑体" w:hAnsi="黑体" w:eastAsia="黑体"/>
                <w:b/>
                <w:color w:val="000000"/>
                <w:sz w:val="20"/>
              </w:rPr>
              <w:t>样本</w:t>
            </w:r>
          </w:p>
        </w:tc>
        <w:tc>
          <w:tcPr>
            <w:tcW w:type="dxa" w:w="1187"/>
          </w:tcPr>
          <w:p>
            <w:pPr>
              <w:jc w:val="center"/>
            </w:pPr>
            <w:r>
              <w:rPr>
                <w:rFonts w:ascii="黑体" w:hAnsi="黑体" w:eastAsia="黑体"/>
                <w:b/>
                <w:color w:val="000000"/>
                <w:sz w:val="20"/>
              </w:rPr>
              <w:t>σ</w:t>
            </w:r>
          </w:p>
        </w:tc>
        <w:tc>
          <w:tcPr>
            <w:tcW w:type="dxa" w:w="1187"/>
          </w:tcPr>
          <w:p>
            <w:pPr>
              <w:jc w:val="center"/>
            </w:pPr>
            <w:r>
              <w:rPr>
                <w:rFonts w:ascii="黑体" w:hAnsi="黑体" w:eastAsia="黑体"/>
                <w:b/>
                <w:color w:val="000000"/>
                <w:sz w:val="20"/>
              </w:rPr>
              <w:t>未调参 PSNR</w:t>
            </w:r>
          </w:p>
        </w:tc>
        <w:tc>
          <w:tcPr>
            <w:tcW w:type="dxa" w:w="1187"/>
          </w:tcPr>
          <w:p>
            <w:pPr>
              <w:jc w:val="center"/>
            </w:pPr>
            <w:r>
              <w:rPr>
                <w:rFonts w:ascii="黑体" w:hAnsi="黑体" w:eastAsia="黑体"/>
                <w:b/>
                <w:color w:val="000000"/>
                <w:sz w:val="20"/>
              </w:rPr>
              <w:t>Agent PSNR</w:t>
            </w:r>
          </w:p>
        </w:tc>
        <w:tc>
          <w:tcPr>
            <w:tcW w:type="dxa" w:w="1187"/>
          </w:tcPr>
          <w:p>
            <w:pPr>
              <w:jc w:val="center"/>
            </w:pPr>
            <w:r>
              <w:rPr>
                <w:rFonts w:ascii="黑体" w:hAnsi="黑体" w:eastAsia="黑体"/>
                <w:b/>
                <w:color w:val="000000"/>
                <w:sz w:val="20"/>
              </w:rPr>
              <w:t>ΔPSNR</w:t>
            </w:r>
          </w:p>
        </w:tc>
        <w:tc>
          <w:tcPr>
            <w:tcW w:type="dxa" w:w="1187"/>
          </w:tcPr>
          <w:p>
            <w:pPr>
              <w:jc w:val="center"/>
            </w:pPr>
            <w:r>
              <w:rPr>
                <w:rFonts w:ascii="黑体" w:hAnsi="黑体" w:eastAsia="黑体"/>
                <w:b/>
                <w:color w:val="000000"/>
                <w:sz w:val="20"/>
              </w:rPr>
              <w:t>未调参 SSIM</w:t>
            </w:r>
          </w:p>
        </w:tc>
        <w:tc>
          <w:tcPr>
            <w:tcW w:type="dxa" w:w="1187"/>
          </w:tcPr>
          <w:p>
            <w:pPr>
              <w:jc w:val="center"/>
            </w:pPr>
            <w:r>
              <w:rPr>
                <w:rFonts w:ascii="黑体" w:hAnsi="黑体" w:eastAsia="黑体"/>
                <w:b/>
                <w:color w:val="000000"/>
                <w:sz w:val="20"/>
              </w:rPr>
              <w:t>Agent SSIM</w:t>
            </w:r>
          </w:p>
        </w:tc>
      </w:tr>
      <w:tr>
        <w:tc>
          <w:tcPr>
            <w:tcW w:type="dxa" w:w="1187"/>
          </w:tcPr>
          <w:p>
            <w:pPr>
              <w:jc w:val="center"/>
            </w:pPr>
            <w:r>
              <w:rPr>
                <w:rFonts w:ascii="宋体" w:hAnsi="宋体" w:eastAsia="宋体"/>
                <w:b w:val="0"/>
                <w:color w:val="000000"/>
                <w:sz w:val="20"/>
              </w:rPr>
              <w:t>brain_slice</w:t>
            </w:r>
          </w:p>
        </w:tc>
        <w:tc>
          <w:tcPr>
            <w:tcW w:type="dxa" w:w="1187"/>
          </w:tcPr>
          <w:p>
            <w:pPr>
              <w:jc w:val="center"/>
            </w:pPr>
            <w:r>
              <w:rPr>
                <w:rFonts w:ascii="宋体" w:hAnsi="宋体" w:eastAsia="宋体"/>
                <w:b w:val="0"/>
                <w:color w:val="000000"/>
                <w:sz w:val="20"/>
              </w:rPr>
              <w:t>25</w:t>
            </w:r>
          </w:p>
        </w:tc>
        <w:tc>
          <w:tcPr>
            <w:tcW w:type="dxa" w:w="1187"/>
          </w:tcPr>
          <w:p>
            <w:pPr>
              <w:jc w:val="center"/>
            </w:pPr>
            <w:r>
              <w:rPr>
                <w:rFonts w:ascii="宋体" w:hAnsi="宋体" w:eastAsia="宋体"/>
                <w:b w:val="0"/>
                <w:color w:val="000000"/>
                <w:sz w:val="20"/>
              </w:rPr>
              <w:t>29.67</w:t>
            </w:r>
          </w:p>
        </w:tc>
        <w:tc>
          <w:tcPr>
            <w:tcW w:type="dxa" w:w="1187"/>
          </w:tcPr>
          <w:p>
            <w:pPr>
              <w:jc w:val="center"/>
            </w:pPr>
            <w:r>
              <w:rPr>
                <w:rFonts w:ascii="宋体" w:hAnsi="宋体" w:eastAsia="宋体"/>
                <w:b w:val="0"/>
                <w:color w:val="000000"/>
                <w:sz w:val="20"/>
              </w:rPr>
              <w:t>29.97</w:t>
            </w:r>
          </w:p>
        </w:tc>
        <w:tc>
          <w:tcPr>
            <w:tcW w:type="dxa" w:w="1187"/>
          </w:tcPr>
          <w:p>
            <w:pPr>
              <w:jc w:val="center"/>
            </w:pPr>
            <w:r>
              <w:rPr>
                <w:rFonts w:ascii="宋体" w:hAnsi="宋体" w:eastAsia="宋体"/>
                <w:b w:val="0"/>
                <w:color w:val="000000"/>
                <w:sz w:val="20"/>
              </w:rPr>
              <w:t>+0.30</w:t>
            </w:r>
          </w:p>
        </w:tc>
        <w:tc>
          <w:tcPr>
            <w:tcW w:type="dxa" w:w="1187"/>
          </w:tcPr>
          <w:p>
            <w:pPr>
              <w:jc w:val="center"/>
            </w:pPr>
            <w:r>
              <w:rPr>
                <w:rFonts w:ascii="宋体" w:hAnsi="宋体" w:eastAsia="宋体"/>
                <w:b w:val="0"/>
                <w:color w:val="000000"/>
                <w:sz w:val="20"/>
              </w:rPr>
              <w:t>0.446</w:t>
            </w:r>
          </w:p>
        </w:tc>
        <w:tc>
          <w:tcPr>
            <w:tcW w:type="dxa" w:w="1187"/>
          </w:tcPr>
          <w:p>
            <w:pPr>
              <w:jc w:val="center"/>
            </w:pPr>
            <w:r>
              <w:rPr>
                <w:rFonts w:ascii="宋体" w:hAnsi="宋体" w:eastAsia="宋体"/>
                <w:b w:val="0"/>
                <w:color w:val="000000"/>
                <w:sz w:val="20"/>
              </w:rPr>
              <w:t>0.454</w:t>
            </w:r>
          </w:p>
        </w:tc>
      </w:tr>
      <w:tr>
        <w:tc>
          <w:tcPr>
            <w:tcW w:type="dxa" w:w="1187"/>
          </w:tcPr>
          <w:p>
            <w:pPr>
              <w:jc w:val="center"/>
            </w:pPr>
            <w:r>
              <w:rPr>
                <w:rFonts w:ascii="宋体" w:hAnsi="宋体" w:eastAsia="宋体"/>
                <w:b w:val="0"/>
                <w:color w:val="000000"/>
                <w:sz w:val="20"/>
              </w:rPr>
              <w:t>cell</w:t>
            </w:r>
          </w:p>
        </w:tc>
        <w:tc>
          <w:tcPr>
            <w:tcW w:type="dxa" w:w="1187"/>
          </w:tcPr>
          <w:p>
            <w:pPr>
              <w:jc w:val="center"/>
            </w:pPr>
            <w:r>
              <w:rPr>
                <w:rFonts w:ascii="宋体" w:hAnsi="宋体" w:eastAsia="宋体"/>
                <w:b w:val="0"/>
                <w:color w:val="000000"/>
                <w:sz w:val="20"/>
              </w:rPr>
              <w:t>25</w:t>
            </w:r>
          </w:p>
        </w:tc>
        <w:tc>
          <w:tcPr>
            <w:tcW w:type="dxa" w:w="1187"/>
          </w:tcPr>
          <w:p>
            <w:pPr>
              <w:jc w:val="center"/>
            </w:pPr>
            <w:r>
              <w:rPr>
                <w:rFonts w:ascii="宋体" w:hAnsi="宋体" w:eastAsia="宋体"/>
                <w:b w:val="0"/>
                <w:color w:val="000000"/>
                <w:sz w:val="20"/>
              </w:rPr>
              <w:t>36.84</w:t>
            </w:r>
          </w:p>
        </w:tc>
        <w:tc>
          <w:tcPr>
            <w:tcW w:type="dxa" w:w="1187"/>
          </w:tcPr>
          <w:p>
            <w:pPr>
              <w:jc w:val="center"/>
            </w:pPr>
            <w:r>
              <w:rPr>
                <w:rFonts w:ascii="宋体" w:hAnsi="宋体" w:eastAsia="宋体"/>
                <w:b w:val="0"/>
                <w:color w:val="000000"/>
                <w:sz w:val="20"/>
              </w:rPr>
              <w:t>37.15</w:t>
            </w:r>
          </w:p>
        </w:tc>
        <w:tc>
          <w:tcPr>
            <w:tcW w:type="dxa" w:w="1187"/>
          </w:tcPr>
          <w:p>
            <w:pPr>
              <w:jc w:val="center"/>
            </w:pPr>
            <w:r>
              <w:rPr>
                <w:rFonts w:ascii="宋体" w:hAnsi="宋体" w:eastAsia="宋体"/>
                <w:b w:val="0"/>
                <w:color w:val="000000"/>
                <w:sz w:val="20"/>
              </w:rPr>
              <w:t>+0.31</w:t>
            </w:r>
          </w:p>
        </w:tc>
        <w:tc>
          <w:tcPr>
            <w:tcW w:type="dxa" w:w="1187"/>
          </w:tcPr>
          <w:p>
            <w:pPr>
              <w:jc w:val="center"/>
            </w:pPr>
            <w:r>
              <w:rPr>
                <w:rFonts w:ascii="宋体" w:hAnsi="宋体" w:eastAsia="宋体"/>
                <w:b w:val="0"/>
                <w:color w:val="000000"/>
                <w:sz w:val="20"/>
              </w:rPr>
              <w:t>0.907</w:t>
            </w:r>
          </w:p>
        </w:tc>
        <w:tc>
          <w:tcPr>
            <w:tcW w:type="dxa" w:w="1187"/>
          </w:tcPr>
          <w:p>
            <w:pPr>
              <w:jc w:val="center"/>
            </w:pPr>
            <w:r>
              <w:rPr>
                <w:rFonts w:ascii="宋体" w:hAnsi="宋体" w:eastAsia="宋体"/>
                <w:b w:val="0"/>
                <w:color w:val="000000"/>
                <w:sz w:val="20"/>
              </w:rPr>
              <w:t>0.912</w:t>
            </w:r>
          </w:p>
        </w:tc>
      </w:tr>
      <w:tr>
        <w:tc>
          <w:tcPr>
            <w:tcW w:type="dxa" w:w="1187"/>
          </w:tcPr>
          <w:p>
            <w:pPr>
              <w:jc w:val="center"/>
            </w:pPr>
            <w:r>
              <w:rPr>
                <w:rFonts w:ascii="宋体" w:hAnsi="宋体" w:eastAsia="宋体"/>
                <w:b w:val="0"/>
                <w:color w:val="000000"/>
                <w:sz w:val="20"/>
              </w:rPr>
              <w:t>skin</w:t>
            </w:r>
          </w:p>
        </w:tc>
        <w:tc>
          <w:tcPr>
            <w:tcW w:type="dxa" w:w="1187"/>
          </w:tcPr>
          <w:p>
            <w:pPr>
              <w:jc w:val="center"/>
            </w:pPr>
            <w:r>
              <w:rPr>
                <w:rFonts w:ascii="宋体" w:hAnsi="宋体" w:eastAsia="宋体"/>
                <w:b w:val="0"/>
                <w:color w:val="000000"/>
                <w:sz w:val="20"/>
              </w:rPr>
              <w:t>25</w:t>
            </w:r>
          </w:p>
        </w:tc>
        <w:tc>
          <w:tcPr>
            <w:tcW w:type="dxa" w:w="1187"/>
          </w:tcPr>
          <w:p>
            <w:pPr>
              <w:jc w:val="center"/>
            </w:pPr>
            <w:r>
              <w:rPr>
                <w:rFonts w:ascii="宋体" w:hAnsi="宋体" w:eastAsia="宋体"/>
                <w:b w:val="0"/>
                <w:color w:val="000000"/>
                <w:sz w:val="20"/>
              </w:rPr>
              <w:t>24.94</w:t>
            </w:r>
          </w:p>
        </w:tc>
        <w:tc>
          <w:tcPr>
            <w:tcW w:type="dxa" w:w="1187"/>
          </w:tcPr>
          <w:p>
            <w:pPr>
              <w:jc w:val="center"/>
            </w:pPr>
            <w:r>
              <w:rPr>
                <w:rFonts w:ascii="宋体" w:hAnsi="宋体" w:eastAsia="宋体"/>
                <w:b w:val="0"/>
                <w:color w:val="000000"/>
                <w:sz w:val="20"/>
              </w:rPr>
              <w:t>25.24</w:t>
            </w:r>
          </w:p>
        </w:tc>
        <w:tc>
          <w:tcPr>
            <w:tcW w:type="dxa" w:w="1187"/>
          </w:tcPr>
          <w:p>
            <w:pPr>
              <w:jc w:val="center"/>
            </w:pPr>
            <w:r>
              <w:rPr>
                <w:rFonts w:ascii="宋体" w:hAnsi="宋体" w:eastAsia="宋体"/>
                <w:b w:val="0"/>
                <w:color w:val="000000"/>
                <w:sz w:val="20"/>
              </w:rPr>
              <w:t>+0.30</w:t>
            </w:r>
          </w:p>
        </w:tc>
        <w:tc>
          <w:tcPr>
            <w:tcW w:type="dxa" w:w="1187"/>
          </w:tcPr>
          <w:p>
            <w:pPr>
              <w:jc w:val="center"/>
            </w:pPr>
            <w:r>
              <w:rPr>
                <w:rFonts w:ascii="宋体" w:hAnsi="宋体" w:eastAsia="宋体"/>
                <w:b w:val="0"/>
                <w:color w:val="000000"/>
                <w:sz w:val="20"/>
              </w:rPr>
              <w:t>0.659</w:t>
            </w:r>
          </w:p>
        </w:tc>
        <w:tc>
          <w:tcPr>
            <w:tcW w:type="dxa" w:w="1187"/>
          </w:tcPr>
          <w:p>
            <w:pPr>
              <w:jc w:val="center"/>
            </w:pPr>
            <w:r>
              <w:rPr>
                <w:rFonts w:ascii="宋体" w:hAnsi="宋体" w:eastAsia="宋体"/>
                <w:b w:val="0"/>
                <w:color w:val="000000"/>
                <w:sz w:val="20"/>
              </w:rPr>
              <w:t>0.672</w:t>
            </w:r>
          </w:p>
        </w:tc>
      </w:tr>
    </w:tbl>
    <w:p/>
    <w:p>
      <w:pPr>
        <w:spacing w:line="360" w:lineRule="auto" w:after="120" w:before="0"/>
        <w:ind w:firstLine="420"/>
      </w:pPr>
      <w:r>
        <w:rPr>
          <w:rFonts w:ascii="宋体" w:hAnsi="宋体" w:eastAsia="宋体"/>
          <w:b w:val="0"/>
          <w:color w:val="000000"/>
          <w:sz w:val="21"/>
        </w:rPr>
        <w:t>同一数据集在Agent调参后PSNR平均提升约0.3 dB，SSIM稳中有升，说明LLM能够根据感知特征微调alpha、beta_tensor与texture_boost，在保留结构的同时降低残余噪声。</w:t>
      </w:r>
    </w:p>
    <w:p>
      <w:pPr>
        <w:pStyle w:val="Heading2"/>
        <w:jc w:val="left"/>
      </w:pPr>
      <w:r>
        <w:rPr>
          <w:rFonts w:ascii="黑体" w:hAnsi="黑体" w:eastAsia="黑体"/>
          <w:b/>
          <w:color w:val="000000"/>
          <w:sz w:val="24"/>
        </w:rPr>
        <w:t>7.5  API调用统计</w:t>
      </w:r>
    </w:p>
    <w:p>
      <w:pPr>
        <w:spacing w:line="360" w:lineRule="auto" w:after="120" w:before="0"/>
        <w:ind w:firstLine="420"/>
      </w:pPr>
      <w:r>
        <w:rPr>
          <w:rFonts w:ascii="宋体" w:hAnsi="宋体" w:eastAsia="宋体"/>
          <w:b w:val="0"/>
          <w:color w:val="000000"/>
          <w:sz w:val="21"/>
        </w:rPr>
        <w:t>截至测试时，本地共发起21次LLM调用，消耗49,175 tokens，费用约0.0453美元，平均响应15.3秒。API监控页可查看每次调用的用途、模型、输入/输出token、费用与状态。</w:t>
      </w:r>
    </w:p>
    <w:p>
      <w:r>
        <w:br w:type="page"/>
      </w:r>
    </w:p>
    <w:p>
      <w:pPr>
        <w:pStyle w:val="Heading1"/>
        <w:jc w:val="left"/>
      </w:pPr>
      <w:r>
        <w:rPr>
          <w:rFonts w:ascii="黑体" w:hAnsi="黑体" w:eastAsia="黑体"/>
          <w:b/>
          <w:color w:val="000000"/>
          <w:sz w:val="28"/>
        </w:rPr>
        <w:t>8  结论与展望</w:t>
      </w:r>
    </w:p>
    <w:p>
      <w:pPr>
        <w:spacing w:line="360" w:lineRule="auto" w:after="120" w:before="0"/>
        <w:ind w:firstLine="420"/>
      </w:pPr>
      <w:r>
        <w:rPr>
          <w:rFonts w:ascii="宋体" w:hAnsi="宋体" w:eastAsia="宋体"/>
          <w:b w:val="0"/>
          <w:color w:val="000000"/>
          <w:sz w:val="21"/>
        </w:rPr>
        <w:t>本文设计并实现了MedDenoise-Agent，一个基于多Agent协作的医学影像智能去噪与质量增强系统。系统以VT-BM3D算法为核心，结合感知、决策、执行、评估与协调Agent，实现了从影像输入到质量评估的闭环自动化。可视化前端与FastAPI后端提供了友好的交互体验，API监控页便于用户控制调用成本。实验结果表明，VT-BM3D在标准数据集与医学影像示例上均优于传统BM3D，Agent调参可获得约0.3 dB的PSNR提升。</w:t>
      </w:r>
    </w:p>
    <w:p>
      <w:pPr>
        <w:spacing w:line="360" w:lineRule="auto" w:after="120" w:before="0"/>
        <w:ind w:firstLine="420"/>
      </w:pPr>
      <w:r>
        <w:rPr>
          <w:rFonts w:ascii="宋体" w:hAnsi="宋体" w:eastAsia="宋体"/>
          <w:b w:val="0"/>
          <w:color w:val="000000"/>
          <w:sz w:val="21"/>
        </w:rPr>
        <w:t>未来工作包括：引入3D DICOM体数据支持；训练面向医学影像的端到端去噪网络；使用强化学习进一步优化Agent决策策略；构建更大规模的案例记忆库以提升LLM规划质量；实现多模态影像（CT/MRI/X光）自适应模态识别与参数库；以及接入SMTP实现真实邮箱验证码注册。</w:t>
      </w:r>
    </w:p>
    <w:p>
      <w:r>
        <w:br w:type="page"/>
      </w:r>
    </w:p>
    <w:p>
      <w:pPr>
        <w:pStyle w:val="Heading1"/>
        <w:jc w:val="left"/>
      </w:pPr>
      <w:r>
        <w:rPr>
          <w:rFonts w:ascii="黑体" w:hAnsi="黑体" w:eastAsia="黑体"/>
          <w:b/>
          <w:color w:val="000000"/>
          <w:sz w:val="28"/>
        </w:rPr>
        <w:t>参考文献</w:t>
      </w:r>
    </w:p>
    <w:p>
      <w:pPr>
        <w:spacing w:line="360" w:lineRule="auto"/>
        <w:ind w:firstLine="0"/>
      </w:pPr>
      <w:r>
        <w:rPr>
          <w:rFonts w:ascii="宋体" w:hAnsi="宋体" w:eastAsia="宋体"/>
          <w:b w:val="0"/>
          <w:color w:val="000000"/>
          <w:sz w:val="21"/>
        </w:rPr>
        <w:t>[1] Peng S, et al. VT-BM3D: A collaborative filtering framework with joint optimization of structure awareness and noise characteristics[J]. Signal Processing, 2026, 243: 110417.</w:t>
      </w:r>
    </w:p>
    <w:p>
      <w:pPr>
        <w:spacing w:line="360" w:lineRule="auto"/>
        <w:ind w:firstLine="0"/>
      </w:pPr>
      <w:r>
        <w:rPr>
          <w:rFonts w:ascii="宋体" w:hAnsi="宋体" w:eastAsia="宋体"/>
          <w:b w:val="0"/>
          <w:color w:val="000000"/>
          <w:sz w:val="21"/>
        </w:rPr>
        <w:t>[2] Dabov K, Foi A, Katkovnik V, et al. Image denoising by sparse 3-D transform-domain collaborative filtering[J]. IEEE TIP, 2007, 16(8): 2080-2095.</w:t>
      </w:r>
    </w:p>
    <w:p>
      <w:pPr>
        <w:spacing w:line="360" w:lineRule="auto"/>
        <w:ind w:firstLine="0"/>
      </w:pPr>
      <w:r>
        <w:rPr>
          <w:rFonts w:ascii="宋体" w:hAnsi="宋体" w:eastAsia="宋体"/>
          <w:b w:val="0"/>
          <w:color w:val="000000"/>
          <w:sz w:val="21"/>
        </w:rPr>
        <w:t>[3] Zhang K, Zuo W, Chen Y, et al. Beyond a Gaussian denoiser: Residual learning of deep CNN for image denoising[J]. IEEE TIP, 2017, 26(7): 3142-3155.</w:t>
      </w:r>
    </w:p>
    <w:p>
      <w:pPr>
        <w:spacing w:line="360" w:lineRule="auto"/>
        <w:ind w:firstLine="0"/>
      </w:pPr>
      <w:r>
        <w:rPr>
          <w:rFonts w:ascii="宋体" w:hAnsi="宋体" w:eastAsia="宋体"/>
          <w:b w:val="0"/>
          <w:color w:val="000000"/>
          <w:sz w:val="21"/>
        </w:rPr>
        <w:t>[4] Anthropic. Claude API documentation[EB/OL]. https://docs.anthropic.com.</w:t>
      </w:r>
    </w:p>
    <w:p>
      <w:pPr>
        <w:spacing w:line="360" w:lineRule="auto"/>
        <w:ind w:firstLine="0"/>
      </w:pPr>
      <w:r>
        <w:rPr>
          <w:rFonts w:ascii="宋体" w:hAnsi="宋体" w:eastAsia="宋体"/>
          <w:b w:val="0"/>
          <w:color w:val="000000"/>
          <w:sz w:val="21"/>
        </w:rPr>
        <w:t>[5] FastAPI documentation[EB/OL]. https://fastapi.tiangolo.com.</w:t>
      </w:r>
    </w:p>
    <w:p>
      <w:pPr>
        <w:spacing w:line="360" w:lineRule="auto"/>
        <w:ind w:firstLine="0"/>
      </w:pPr>
      <w:r>
        <w:rPr>
          <w:rFonts w:ascii="宋体" w:hAnsi="宋体" w:eastAsia="宋体"/>
          <w:b w:val="0"/>
          <w:color w:val="000000"/>
          <w:sz w:val="21"/>
        </w:rPr>
        <w:t>[6] Vue.js 3 documentation[EB/OL]. https://vuejs.org.</w:t>
      </w:r>
    </w:p>
    <w:p>
      <w:r>
        <w:br w:type="page"/>
      </w:r>
    </w:p>
    <w:p>
      <w:pPr>
        <w:pStyle w:val="Heading1"/>
        <w:jc w:val="left"/>
      </w:pPr>
      <w:r>
        <w:rPr>
          <w:rFonts w:ascii="黑体" w:hAnsi="黑体" w:eastAsia="黑体"/>
          <w:b/>
          <w:color w:val="000000"/>
          <w:sz w:val="28"/>
        </w:rPr>
        <w:t>致  谢</w:t>
      </w:r>
    </w:p>
    <w:p>
      <w:pPr>
        <w:spacing w:line="360" w:lineRule="auto" w:after="120" w:before="0"/>
        <w:ind w:firstLine="420"/>
      </w:pPr>
      <w:r>
        <w:rPr>
          <w:rFonts w:ascii="宋体" w:hAnsi="宋体" w:eastAsia="宋体"/>
          <w:b w:val="0"/>
          <w:color w:val="000000"/>
          <w:sz w:val="21"/>
        </w:rPr>
        <w:t>衷心感谢指导老师在小学期实训中的悉心指导与耐心帮助，使我能够顺利完成本系统的设计与实现。感谢开源社区提供的bm3d、scikit-image、FastAPI、Vue 3等优秀工具，为本系统的快速构建奠定了基础。感谢同学们在测试与讨论中提出的宝贵意见，使我不断改进系统功能与论文写作。本系统的学习与探索过程让我深刻体会到理论与实践结合的重要性，也为今后的学习与研发积累了宝贵经验。</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宋体" w:hAnsi="宋体" w:eastAsia="宋体"/>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