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17B1" w14:textId="77777777" w:rsidR="002F5906" w:rsidRDefault="00000000">
      <w:pPr>
        <w:pStyle w:val="Title"/>
      </w:pPr>
      <w:r>
        <w:t>MGT6046 | Operations &amp; Supply Chain Management</w:t>
      </w:r>
    </w:p>
    <w:p w14:paraId="28D91B68" w14:textId="77777777" w:rsidR="002F5906" w:rsidRDefault="00000000">
      <w:r>
        <w:t>Use consistent units throughout. Multiply a fraction by 100 to express a percentage. Interpret results in operational context, not only as numerical answers.</w:t>
      </w:r>
    </w:p>
    <w:p w14:paraId="2BFD2765" w14:textId="6FFF6D5F" w:rsidR="002F5906" w:rsidRPr="00AD7F0F" w:rsidRDefault="00AD7F0F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>1 Capacity</w:t>
      </w:r>
      <w:r w:rsidR="00000000" w:rsidRPr="00AD7F0F">
        <w:rPr>
          <w:rFonts w:asciiTheme="majorBidi" w:hAnsiTheme="majorBidi"/>
          <w:color w:val="auto"/>
          <w:szCs w:val="24"/>
        </w:rPr>
        <w:t xml:space="preserve">, </w:t>
      </w:r>
      <w:proofErr w:type="spellStart"/>
      <w:r w:rsidR="00000000" w:rsidRPr="00AD7F0F">
        <w:rPr>
          <w:rFonts w:asciiTheme="majorBidi" w:hAnsiTheme="majorBidi"/>
          <w:color w:val="auto"/>
          <w:szCs w:val="24"/>
        </w:rPr>
        <w:t>utilisation</w:t>
      </w:r>
      <w:proofErr w:type="spellEnd"/>
      <w:r w:rsidR="00000000" w:rsidRPr="00AD7F0F">
        <w:rPr>
          <w:rFonts w:asciiTheme="majorBidi" w:hAnsiTheme="majorBidi"/>
          <w:color w:val="auto"/>
          <w:szCs w:val="24"/>
        </w:rPr>
        <w:t xml:space="preserve"> and efficiency </w:t>
      </w:r>
    </w:p>
    <w:tbl>
      <w:tblPr>
        <w:tblStyle w:val="LightShading-Accent1"/>
        <w:tblW w:w="10500" w:type="dxa"/>
        <w:tblLayout w:type="fixed"/>
        <w:tblLook w:val="04A0" w:firstRow="1" w:lastRow="0" w:firstColumn="1" w:lastColumn="0" w:noHBand="0" w:noVBand="1"/>
      </w:tblPr>
      <w:tblGrid>
        <w:gridCol w:w="4531"/>
        <w:gridCol w:w="5969"/>
      </w:tblGrid>
      <w:tr w:rsidR="002F5906" w:rsidRPr="00AD7F0F" w14:paraId="1DAF8DDA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9DD138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969" w:type="dxa"/>
          </w:tcPr>
          <w:p w14:paraId="2142E09C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6BE9A5E4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2E19B1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Design capacity</w:t>
            </w:r>
          </w:p>
        </w:tc>
        <w:tc>
          <w:tcPr>
            <w:tcW w:w="5969" w:type="dxa"/>
          </w:tcPr>
          <w:p w14:paraId="5408AD35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Maximum theoretical output over a specified period = output per cycle × number of cycles.</w:t>
            </w:r>
          </w:p>
        </w:tc>
      </w:tr>
      <w:tr w:rsidR="002F5906" w:rsidRPr="00AD7F0F" w14:paraId="28E574C1" w14:textId="77777777" w:rsidTr="00AD7F0F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D8DFB49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Effective capacity</w:t>
            </w:r>
          </w:p>
        </w:tc>
        <w:tc>
          <w:tcPr>
            <w:tcW w:w="5969" w:type="dxa"/>
          </w:tcPr>
          <w:p w14:paraId="4AEE093E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Design capacity − planned downtime (in consistent output-equivalent units).</w:t>
            </w:r>
          </w:p>
        </w:tc>
      </w:tr>
      <w:tr w:rsidR="002F5906" w:rsidRPr="00AD7F0F" w14:paraId="05EF913E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BCD2CE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Achieved capacity</w:t>
            </w:r>
          </w:p>
        </w:tc>
        <w:tc>
          <w:tcPr>
            <w:tcW w:w="5969" w:type="dxa"/>
          </w:tcPr>
          <w:p w14:paraId="37EFCF46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Effective capacity − avoidable / unplanned downtime (in consistent units).</w:t>
            </w:r>
          </w:p>
        </w:tc>
      </w:tr>
      <w:tr w:rsidR="002F5906" w:rsidRPr="00AD7F0F" w14:paraId="7D78F9CD" w14:textId="77777777" w:rsidTr="00AD7F0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2A39EB6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Utilisation (%)</w:t>
            </w:r>
          </w:p>
        </w:tc>
        <w:tc>
          <w:tcPr>
            <w:tcW w:w="5969" w:type="dxa"/>
          </w:tcPr>
          <w:p w14:paraId="6A0C85E1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(Achieved capacity ÷ design capacity) × 100</w:t>
            </w:r>
          </w:p>
        </w:tc>
      </w:tr>
      <w:tr w:rsidR="002F5906" w:rsidRPr="00AD7F0F" w14:paraId="68F2675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5143159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Capacity efficiency (%)</w:t>
            </w:r>
          </w:p>
        </w:tc>
        <w:tc>
          <w:tcPr>
            <w:tcW w:w="5969" w:type="dxa"/>
          </w:tcPr>
          <w:p w14:paraId="12B5F130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(Achieved capacity ÷ effective capacity) × 100</w:t>
            </w:r>
          </w:p>
        </w:tc>
      </w:tr>
      <w:tr w:rsidR="002F5906" w:rsidRPr="00AD7F0F" w14:paraId="56BE1894" w14:textId="77777777" w:rsidTr="00AD7F0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673A1EA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downtime</w:t>
            </w:r>
          </w:p>
        </w:tc>
        <w:tc>
          <w:tcPr>
            <w:tcW w:w="5969" w:type="dxa"/>
          </w:tcPr>
          <w:p w14:paraId="0D176D05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Planned downtime + avoidable downtime</w:t>
            </w:r>
          </w:p>
        </w:tc>
      </w:tr>
      <w:tr w:rsidR="002F5906" w:rsidRPr="00AD7F0F" w14:paraId="44327252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5C1D5B5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Mixed-product time</w:t>
            </w:r>
          </w:p>
        </w:tc>
        <w:tc>
          <w:tcPr>
            <w:tcW w:w="5969" w:type="dxa"/>
          </w:tcPr>
          <w:p w14:paraId="083068D5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Time for product mix = Σ (quantity of product i × processing time per unit i)</w:t>
            </w:r>
          </w:p>
        </w:tc>
      </w:tr>
      <w:tr w:rsidR="002F5906" w:rsidRPr="00AD7F0F" w14:paraId="0EA144E7" w14:textId="77777777" w:rsidTr="00AD7F0F">
        <w:trPr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587D71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Product-mix capacity</w:t>
            </w:r>
          </w:p>
        </w:tc>
        <w:tc>
          <w:tcPr>
            <w:tcW w:w="5969" w:type="dxa"/>
          </w:tcPr>
          <w:p w14:paraId="03D14719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available production time ÷ weighted average processing time per unit</w:t>
            </w:r>
          </w:p>
        </w:tc>
      </w:tr>
    </w:tbl>
    <w:p w14:paraId="5BDD1BF2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Do not subtract hours directly from units of output: first convert downtime to equivalent output or calculate effective/achieved available hours.</w:t>
      </w:r>
    </w:p>
    <w:p w14:paraId="4C85FE70" w14:textId="63FE0477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 xml:space="preserve">2  Little’s Law and process flow </w:t>
      </w:r>
    </w:p>
    <w:tbl>
      <w:tblPr>
        <w:tblStyle w:val="LightShading-Accent1"/>
        <w:tblW w:w="10989" w:type="dxa"/>
        <w:tblLayout w:type="fixed"/>
        <w:tblLook w:val="04A0" w:firstRow="1" w:lastRow="0" w:firstColumn="1" w:lastColumn="0" w:noHBand="0" w:noVBand="1"/>
      </w:tblPr>
      <w:tblGrid>
        <w:gridCol w:w="4742"/>
        <w:gridCol w:w="6247"/>
      </w:tblGrid>
      <w:tr w:rsidR="002F5906" w:rsidRPr="00AD7F0F" w14:paraId="2F2E9339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B7EDB44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6247" w:type="dxa"/>
          </w:tcPr>
          <w:p w14:paraId="5CAE8B9B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38AA1B8C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8D2CA59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Little’s Law</w:t>
            </w:r>
          </w:p>
        </w:tc>
        <w:tc>
          <w:tcPr>
            <w:tcW w:w="6247" w:type="dxa"/>
          </w:tcPr>
          <w:p w14:paraId="39A98D9A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WIP = throughput rate (R) × flow time (T)</w:t>
            </w:r>
          </w:p>
        </w:tc>
      </w:tr>
      <w:tr w:rsidR="002F5906" w:rsidRPr="00AD7F0F" w14:paraId="54C1072F" w14:textId="77777777" w:rsidTr="00AD7F0F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0EF9216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Throughput rate</w:t>
            </w:r>
          </w:p>
        </w:tc>
        <w:tc>
          <w:tcPr>
            <w:tcW w:w="6247" w:type="dxa"/>
          </w:tcPr>
          <w:p w14:paraId="31C45A18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R = WIP ÷ T</w:t>
            </w:r>
          </w:p>
        </w:tc>
      </w:tr>
      <w:tr w:rsidR="002F5906" w:rsidRPr="00AD7F0F" w14:paraId="2B84DAE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C3D8652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Average flow time</w:t>
            </w:r>
          </w:p>
        </w:tc>
        <w:tc>
          <w:tcPr>
            <w:tcW w:w="6247" w:type="dxa"/>
          </w:tcPr>
          <w:p w14:paraId="2F56AF03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 = WIP ÷ R</w:t>
            </w:r>
          </w:p>
        </w:tc>
      </w:tr>
      <w:tr w:rsidR="002F5906" w:rsidRPr="00AD7F0F" w14:paraId="5AE88DA9" w14:textId="77777777" w:rsidTr="00AD7F0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2CEE7C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Output interval / cycle time</w:t>
            </w:r>
          </w:p>
        </w:tc>
        <w:tc>
          <w:tcPr>
            <w:tcW w:w="6247" w:type="dxa"/>
          </w:tcPr>
          <w:p w14:paraId="769F5E10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 = operating time ÷ number of completed units = 1 ÷ R (with compatible units)</w:t>
            </w:r>
          </w:p>
        </w:tc>
      </w:tr>
      <w:tr w:rsidR="002F5906" w:rsidRPr="00AD7F0F" w14:paraId="183C6608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68F845B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Flow time using output interval</w:t>
            </w:r>
          </w:p>
        </w:tc>
        <w:tc>
          <w:tcPr>
            <w:tcW w:w="6247" w:type="dxa"/>
          </w:tcPr>
          <w:p w14:paraId="6AD5697A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 = WIP × C</w:t>
            </w:r>
          </w:p>
        </w:tc>
      </w:tr>
      <w:tr w:rsidR="002F5906" w:rsidRPr="00AD7F0F" w14:paraId="36D524D5" w14:textId="77777777" w:rsidTr="00AD7F0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0230C5B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Servers required (idealised)</w:t>
            </w:r>
          </w:p>
        </w:tc>
        <w:tc>
          <w:tcPr>
            <w:tcW w:w="6247" w:type="dxa"/>
          </w:tcPr>
          <w:p w14:paraId="3B9DFBE4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Work content per unit ÷ target output interval; round up when whole servers are needed</w:t>
            </w:r>
          </w:p>
        </w:tc>
      </w:tr>
    </w:tbl>
    <w:p w14:paraId="29F2D267" w14:textId="3995207A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>Important</w:t>
      </w:r>
      <w:r w:rsidR="006A4034">
        <w:rPr>
          <w:rFonts w:asciiTheme="majorBidi" w:hAnsiTheme="majorBidi" w:cstheme="majorBidi"/>
          <w:b/>
          <w:sz w:val="24"/>
          <w:szCs w:val="24"/>
        </w:rPr>
        <w:t xml:space="preserve">: </w:t>
      </w:r>
      <w:r w:rsidRPr="00AD7F0F">
        <w:rPr>
          <w:rFonts w:asciiTheme="majorBidi" w:hAnsiTheme="majorBidi" w:cstheme="majorBidi"/>
          <w:sz w:val="24"/>
          <w:szCs w:val="24"/>
        </w:rPr>
        <w:t>Distinguish the interval between completed items (C) from an item’s total time in the system (T). Little’s Law uses T as flow time.</w:t>
      </w:r>
    </w:p>
    <w:p w14:paraId="637E76C8" w14:textId="1DB15991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 xml:space="preserve">3  Productivity </w:t>
      </w:r>
    </w:p>
    <w:tbl>
      <w:tblPr>
        <w:tblStyle w:val="LightShading-Accent1"/>
        <w:tblW w:w="10498" w:type="dxa"/>
        <w:tblLayout w:type="fixed"/>
        <w:tblLook w:val="04A0" w:firstRow="1" w:lastRow="0" w:firstColumn="1" w:lastColumn="0" w:noHBand="0" w:noVBand="1"/>
      </w:tblPr>
      <w:tblGrid>
        <w:gridCol w:w="4530"/>
        <w:gridCol w:w="5968"/>
      </w:tblGrid>
      <w:tr w:rsidR="002F5906" w:rsidRPr="00AD7F0F" w14:paraId="3CD09ED7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59FCDC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968" w:type="dxa"/>
          </w:tcPr>
          <w:p w14:paraId="5EA6B73E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2151CF00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A6A655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General productivity</w:t>
            </w:r>
          </w:p>
        </w:tc>
        <w:tc>
          <w:tcPr>
            <w:tcW w:w="5968" w:type="dxa"/>
          </w:tcPr>
          <w:p w14:paraId="4EBF70A8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Output ÷ input</w:t>
            </w:r>
          </w:p>
        </w:tc>
      </w:tr>
      <w:tr w:rsidR="002F5906" w:rsidRPr="00AD7F0F" w14:paraId="276DE740" w14:textId="77777777" w:rsidTr="00AD7F0F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A7EF10A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lastRenderedPageBreak/>
              <w:t>Single-factor productivity</w:t>
            </w:r>
          </w:p>
        </w:tc>
        <w:tc>
          <w:tcPr>
            <w:tcW w:w="5968" w:type="dxa"/>
          </w:tcPr>
          <w:p w14:paraId="52F1F5C2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Output ÷ one specified input</w:t>
            </w:r>
          </w:p>
        </w:tc>
      </w:tr>
      <w:tr w:rsidR="002F5906" w:rsidRPr="00AD7F0F" w14:paraId="5757C5C2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E4D3893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Labour productivity</w:t>
            </w:r>
          </w:p>
        </w:tc>
        <w:tc>
          <w:tcPr>
            <w:tcW w:w="5968" w:type="dxa"/>
          </w:tcPr>
          <w:p w14:paraId="33802D54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Completed units ÷ total labour hours</w:t>
            </w:r>
          </w:p>
        </w:tc>
      </w:tr>
      <w:tr w:rsidR="002F5906" w:rsidRPr="00AD7F0F" w14:paraId="3BE538A5" w14:textId="77777777" w:rsidTr="00AD7F0F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D4A7FF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Labour hours</w:t>
            </w:r>
          </w:p>
        </w:tc>
        <w:tc>
          <w:tcPr>
            <w:tcW w:w="5968" w:type="dxa"/>
          </w:tcPr>
          <w:p w14:paraId="0E1AF993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Number of workers × hours worked per worker</w:t>
            </w:r>
          </w:p>
        </w:tc>
      </w:tr>
      <w:tr w:rsidR="002F5906" w:rsidRPr="00AD7F0F" w14:paraId="13629AB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3BAED4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Labour cost</w:t>
            </w:r>
          </w:p>
        </w:tc>
        <w:tc>
          <w:tcPr>
            <w:tcW w:w="5968" w:type="dxa"/>
          </w:tcPr>
          <w:p w14:paraId="152DA6BF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Labour hours × hourly wage rate</w:t>
            </w:r>
          </w:p>
        </w:tc>
      </w:tr>
      <w:tr w:rsidR="002F5906" w:rsidRPr="00AD7F0F" w14:paraId="287C574B" w14:textId="77777777" w:rsidTr="00AD7F0F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8D65A9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Multifactor productivity</w:t>
            </w:r>
          </w:p>
        </w:tc>
        <w:tc>
          <w:tcPr>
            <w:tcW w:w="5968" w:type="dxa"/>
          </w:tcPr>
          <w:p w14:paraId="625D185B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Output ÷ total measured input costs (e.g. labour + materials + energy + overheads)</w:t>
            </w:r>
          </w:p>
        </w:tc>
      </w:tr>
      <w:tr w:rsidR="002F5906" w:rsidRPr="00AD7F0F" w14:paraId="7553C12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52D91DE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Productivity change (%)</w:t>
            </w:r>
          </w:p>
        </w:tc>
        <w:tc>
          <w:tcPr>
            <w:tcW w:w="5968" w:type="dxa"/>
          </w:tcPr>
          <w:p w14:paraId="0041BF47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[(New productivity − old productivity) ÷ old productivity] × 100</w:t>
            </w:r>
          </w:p>
        </w:tc>
      </w:tr>
      <w:tr w:rsidR="002F5906" w:rsidRPr="00AD7F0F" w14:paraId="7EC980C5" w14:textId="77777777" w:rsidTr="00AD7F0F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9262ED8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Value output / labour hour</w:t>
            </w:r>
          </w:p>
        </w:tc>
        <w:tc>
          <w:tcPr>
            <w:tcW w:w="5968" w:type="dxa"/>
          </w:tcPr>
          <w:p w14:paraId="38DFDA61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sales value of output ÷ labour hours</w:t>
            </w:r>
          </w:p>
        </w:tc>
      </w:tr>
    </w:tbl>
    <w:p w14:paraId="135DF4FD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Label the units, e.g. orders/labour-hour or kg/£. When combining different inputs, first convert to a common measure such as monetary cost.</w:t>
      </w:r>
    </w:p>
    <w:p w14:paraId="168C4549" w14:textId="08D613DD" w:rsidR="002F5906" w:rsidRPr="00AD7F0F" w:rsidRDefault="00AD7F0F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>4 Throughput</w:t>
      </w:r>
      <w:r w:rsidR="00000000" w:rsidRPr="00AD7F0F">
        <w:rPr>
          <w:rFonts w:asciiTheme="majorBidi" w:hAnsiTheme="majorBidi"/>
          <w:color w:val="auto"/>
          <w:szCs w:val="24"/>
        </w:rPr>
        <w:t xml:space="preserve"> efficiency </w:t>
      </w:r>
      <w:r w:rsidR="0066652D" w:rsidRPr="00AD7F0F">
        <w:rPr>
          <w:rFonts w:asciiTheme="majorBidi" w:hAnsiTheme="majorBidi"/>
          <w:color w:val="auto"/>
          <w:szCs w:val="24"/>
        </w:rPr>
        <w:t xml:space="preserve">and </w:t>
      </w:r>
      <w:r w:rsidR="00000000" w:rsidRPr="00AD7F0F">
        <w:rPr>
          <w:rFonts w:asciiTheme="majorBidi" w:hAnsiTheme="majorBidi"/>
          <w:color w:val="auto"/>
          <w:szCs w:val="24"/>
        </w:rPr>
        <w:t xml:space="preserve"> Lean </w:t>
      </w:r>
      <w:r w:rsidR="0066652D" w:rsidRPr="00AD7F0F">
        <w:rPr>
          <w:rFonts w:asciiTheme="majorBidi" w:hAnsiTheme="majorBidi"/>
          <w:color w:val="auto"/>
          <w:szCs w:val="24"/>
        </w:rPr>
        <w:t>Operations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4272"/>
        <w:gridCol w:w="5628"/>
      </w:tblGrid>
      <w:tr w:rsidR="002F5906" w:rsidRPr="00AD7F0F" w14:paraId="0E192515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2" w:type="dxa"/>
          </w:tcPr>
          <w:p w14:paraId="1E4ABDEA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628" w:type="dxa"/>
          </w:tcPr>
          <w:p w14:paraId="34647CEB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314BE31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2" w:type="dxa"/>
          </w:tcPr>
          <w:p w14:paraId="75B044B5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Throughput efficiency (%)</w:t>
            </w:r>
          </w:p>
        </w:tc>
        <w:tc>
          <w:tcPr>
            <w:tcW w:w="5628" w:type="dxa"/>
          </w:tcPr>
          <w:p w14:paraId="0648C8CC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(Total work content per item ÷ total throughput / flow time per item) × 100</w:t>
            </w:r>
          </w:p>
        </w:tc>
      </w:tr>
      <w:tr w:rsidR="002F5906" w:rsidRPr="00AD7F0F" w14:paraId="2B2C3325" w14:textId="77777777" w:rsidTr="00AD7F0F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2" w:type="dxa"/>
          </w:tcPr>
          <w:p w14:paraId="4753F745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Value-added throughput efficiency, VATE (%)</w:t>
            </w:r>
          </w:p>
        </w:tc>
        <w:tc>
          <w:tcPr>
            <w:tcW w:w="5628" w:type="dxa"/>
          </w:tcPr>
          <w:p w14:paraId="7B41ECF3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(Value-added work content per item ÷ total throughput / flow time per item) × 100</w:t>
            </w:r>
          </w:p>
        </w:tc>
      </w:tr>
      <w:tr w:rsidR="002F5906" w:rsidRPr="00AD7F0F" w14:paraId="54DC0645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2" w:type="dxa"/>
          </w:tcPr>
          <w:p w14:paraId="59B2D88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Throughput time from WIP</w:t>
            </w:r>
          </w:p>
        </w:tc>
        <w:tc>
          <w:tcPr>
            <w:tcW w:w="5628" w:type="dxa"/>
          </w:tcPr>
          <w:p w14:paraId="3D2879F8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Throughput / flow time = WIP × output interval</w:t>
            </w:r>
          </w:p>
        </w:tc>
      </w:tr>
      <w:tr w:rsidR="002F5906" w:rsidRPr="00AD7F0F" w14:paraId="0500945D" w14:textId="77777777" w:rsidTr="00AD7F0F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2" w:type="dxa"/>
          </w:tcPr>
          <w:p w14:paraId="17E9637B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Non-value-added flow time</w:t>
            </w:r>
          </w:p>
        </w:tc>
        <w:tc>
          <w:tcPr>
            <w:tcW w:w="5628" w:type="dxa"/>
          </w:tcPr>
          <w:p w14:paraId="6F9A1410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flow time − value-added work content (when measured on the same item and basis)</w:t>
            </w:r>
          </w:p>
        </w:tc>
      </w:tr>
    </w:tbl>
    <w:p w14:paraId="024872A7" w14:textId="38FFF5AD" w:rsidR="002F5906" w:rsidRPr="00AD7F0F" w:rsidRDefault="002F5906">
      <w:pPr>
        <w:rPr>
          <w:rFonts w:asciiTheme="majorBidi" w:hAnsiTheme="majorBidi" w:cstheme="majorBidi"/>
          <w:sz w:val="24"/>
          <w:szCs w:val="24"/>
        </w:rPr>
      </w:pPr>
    </w:p>
    <w:p w14:paraId="3063335B" w14:textId="4D57E8C4" w:rsidR="002F5906" w:rsidRPr="00AD7F0F" w:rsidRDefault="00AD7F0F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>5 Bottlenecks</w:t>
      </w:r>
      <w:r w:rsidR="00000000" w:rsidRPr="00AD7F0F">
        <w:rPr>
          <w:rFonts w:asciiTheme="majorBidi" w:hAnsiTheme="majorBidi"/>
          <w:color w:val="auto"/>
          <w:szCs w:val="24"/>
        </w:rPr>
        <w:t xml:space="preserve"> and line balancing </w:t>
      </w:r>
    </w:p>
    <w:tbl>
      <w:tblPr>
        <w:tblStyle w:val="LightShading-Accent1"/>
        <w:tblW w:w="10426" w:type="dxa"/>
        <w:tblLayout w:type="fixed"/>
        <w:tblLook w:val="04A0" w:firstRow="1" w:lastRow="0" w:firstColumn="1" w:lastColumn="0" w:noHBand="0" w:noVBand="1"/>
      </w:tblPr>
      <w:tblGrid>
        <w:gridCol w:w="4499"/>
        <w:gridCol w:w="5927"/>
      </w:tblGrid>
      <w:tr w:rsidR="002F5906" w:rsidRPr="00AD7F0F" w14:paraId="63CEE9C8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68B5F6D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927" w:type="dxa"/>
          </w:tcPr>
          <w:p w14:paraId="27CC4DBC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426F457F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13EB783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Bottleneck stage</w:t>
            </w:r>
          </w:p>
        </w:tc>
        <w:tc>
          <w:tcPr>
            <w:tcW w:w="5927" w:type="dxa"/>
          </w:tcPr>
          <w:p w14:paraId="4B70D384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Stage with the longest processing time per unit (for a simple single-resource serial line).</w:t>
            </w:r>
          </w:p>
        </w:tc>
      </w:tr>
      <w:tr w:rsidR="002F5906" w:rsidRPr="00AD7F0F" w14:paraId="056B76A6" w14:textId="77777777" w:rsidTr="00AD7F0F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41C9EB1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Line cycle time</w:t>
            </w:r>
          </w:p>
        </w:tc>
        <w:tc>
          <w:tcPr>
            <w:tcW w:w="5927" w:type="dxa"/>
          </w:tcPr>
          <w:p w14:paraId="7A4D6011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Bottleneck processing time per unit, in the simple line model used in the manual</w:t>
            </w:r>
          </w:p>
        </w:tc>
      </w:tr>
      <w:tr w:rsidR="002F5906" w:rsidRPr="00AD7F0F" w14:paraId="01BC0D47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06B36532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Line capacity</w:t>
            </w:r>
          </w:p>
        </w:tc>
        <w:tc>
          <w:tcPr>
            <w:tcW w:w="5927" w:type="dxa"/>
          </w:tcPr>
          <w:p w14:paraId="2B3DED0E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Available line operating time ÷ line cycle time</w:t>
            </w:r>
          </w:p>
        </w:tc>
      </w:tr>
      <w:tr w:rsidR="002F5906" w:rsidRPr="00AD7F0F" w14:paraId="73DF59E1" w14:textId="77777777" w:rsidTr="00AD7F0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26561272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Idle time at stage i</w:t>
            </w:r>
          </w:p>
        </w:tc>
        <w:tc>
          <w:tcPr>
            <w:tcW w:w="5927" w:type="dxa"/>
          </w:tcPr>
          <w:p w14:paraId="4F0E54FD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Line cycle time − stage i processing time</w:t>
            </w:r>
          </w:p>
        </w:tc>
      </w:tr>
      <w:tr w:rsidR="002F5906" w:rsidRPr="00AD7F0F" w14:paraId="4AFB736B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5A88032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idle time per cycle</w:t>
            </w:r>
          </w:p>
        </w:tc>
        <w:tc>
          <w:tcPr>
            <w:tcW w:w="5927" w:type="dxa"/>
          </w:tcPr>
          <w:p w14:paraId="2EECBC2A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Σ (line cycle time − processing time at each stage)</w:t>
            </w:r>
          </w:p>
        </w:tc>
      </w:tr>
      <w:tr w:rsidR="002F5906" w:rsidRPr="00AD7F0F" w14:paraId="074AAF61" w14:textId="77777777" w:rsidTr="00AD7F0F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2B87B9B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Balancing loss (%)</w:t>
            </w:r>
          </w:p>
        </w:tc>
        <w:tc>
          <w:tcPr>
            <w:tcW w:w="5927" w:type="dxa"/>
          </w:tcPr>
          <w:p w14:paraId="10EDA11E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[Total idle time per cycle ÷ (line cycle time × number of stages)] × 100</w:t>
            </w:r>
          </w:p>
        </w:tc>
      </w:tr>
      <w:tr w:rsidR="002F5906" w:rsidRPr="00AD7F0F" w14:paraId="5FC5A879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5736C78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Line balance efficiency (%)</w:t>
            </w:r>
          </w:p>
        </w:tc>
        <w:tc>
          <w:tcPr>
            <w:tcW w:w="5927" w:type="dxa"/>
          </w:tcPr>
          <w:p w14:paraId="6B921F3F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100 − balancing loss (%)</w:t>
            </w:r>
          </w:p>
        </w:tc>
      </w:tr>
      <w:tr w:rsidR="002F5906" w:rsidRPr="00AD7F0F" w14:paraId="2D7C289F" w14:textId="77777777" w:rsidTr="00AD7F0F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3CDD1C13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Parallel machine capacity</w:t>
            </w:r>
          </w:p>
        </w:tc>
        <w:tc>
          <w:tcPr>
            <w:tcW w:w="5927" w:type="dxa"/>
          </w:tcPr>
          <w:p w14:paraId="098AD0E2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Combined rate = Σ (1 ÷ processing time per unit for machine i); equivalent time per item = 1 ÷ combined rate</w:t>
            </w:r>
          </w:p>
        </w:tc>
      </w:tr>
    </w:tbl>
    <w:p w14:paraId="0F2F3049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lastRenderedPageBreak/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The bottleneck and line-balance formulas assume comparable serial stages and stable processing times. Theory of Constraints itself is a management framework, not an additional standalone formula.</w:t>
      </w:r>
    </w:p>
    <w:p w14:paraId="205C0FCD" w14:textId="54246B5F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>6  Facility layout: adjacent-department method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4401"/>
        <w:gridCol w:w="5798"/>
      </w:tblGrid>
      <w:tr w:rsidR="002F5906" w:rsidRPr="00AD7F0F" w14:paraId="1E144C3A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1" w:type="dxa"/>
          </w:tcPr>
          <w:p w14:paraId="06D6F68E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798" w:type="dxa"/>
          </w:tcPr>
          <w:p w14:paraId="7FBD5935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5001237F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1" w:type="dxa"/>
          </w:tcPr>
          <w:p w14:paraId="0BBD1E39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Bidirectional activity</w:t>
            </w:r>
          </w:p>
        </w:tc>
        <w:tc>
          <w:tcPr>
            <w:tcW w:w="5798" w:type="dxa"/>
          </w:tcPr>
          <w:p w14:paraId="713D1951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Aᵢⱼ = trips i→j + trips j→i</w:t>
            </w:r>
          </w:p>
        </w:tc>
      </w:tr>
      <w:tr w:rsidR="002F5906" w:rsidRPr="00AD7F0F" w14:paraId="5F5A2F74" w14:textId="77777777" w:rsidTr="00AD7F0F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1" w:type="dxa"/>
          </w:tcPr>
          <w:p w14:paraId="56BBAEB4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Activity–distance score</w:t>
            </w:r>
          </w:p>
        </w:tc>
        <w:tc>
          <w:tcPr>
            <w:tcW w:w="5798" w:type="dxa"/>
          </w:tcPr>
          <w:p w14:paraId="792A1AFC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Score = Σ (Aᵢⱼ × Dᵢⱼ) for department pairs</w:t>
            </w:r>
          </w:p>
        </w:tc>
      </w:tr>
      <w:tr w:rsidR="002F5906" w:rsidRPr="00AD7F0F" w14:paraId="536A6135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1" w:type="dxa"/>
          </w:tcPr>
          <w:p w14:paraId="21DB635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Layout objective</w:t>
            </w:r>
          </w:p>
        </w:tc>
        <w:tc>
          <w:tcPr>
            <w:tcW w:w="5798" w:type="dxa"/>
          </w:tcPr>
          <w:p w14:paraId="787FA1AD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Minimise activity–distance score under the manual’s chosen adjacency/distance convention</w:t>
            </w:r>
          </w:p>
        </w:tc>
      </w:tr>
    </w:tbl>
    <w:p w14:paraId="332015BB" w14:textId="3B7017B1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="006A4034">
        <w:rPr>
          <w:rFonts w:asciiTheme="majorBidi" w:hAnsiTheme="majorBidi" w:cstheme="majorBidi"/>
          <w:sz w:val="24"/>
          <w:szCs w:val="24"/>
        </w:rPr>
        <w:t xml:space="preserve"> Assign </w:t>
      </w:r>
      <w:r w:rsidRPr="00AD7F0F">
        <w:rPr>
          <w:rFonts w:asciiTheme="majorBidi" w:hAnsiTheme="majorBidi" w:cstheme="majorBidi"/>
          <w:sz w:val="24"/>
          <w:szCs w:val="24"/>
        </w:rPr>
        <w:t>0 for designated adjacent pairs and higher penalties for non-adjacent pairs. Apply its distance convention consistently; it is a simplified measure, not literal travel distance.</w:t>
      </w:r>
    </w:p>
    <w:p w14:paraId="70EE7ADA" w14:textId="3A79FF24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 xml:space="preserve">7  Inventory and ABC analysis </w:t>
      </w:r>
    </w:p>
    <w:tbl>
      <w:tblPr>
        <w:tblStyle w:val="LightShading-Accent1"/>
        <w:tblW w:w="10575" w:type="dxa"/>
        <w:tblLayout w:type="fixed"/>
        <w:tblLook w:val="04A0" w:firstRow="1" w:lastRow="0" w:firstColumn="1" w:lastColumn="0" w:noHBand="0" w:noVBand="1"/>
      </w:tblPr>
      <w:tblGrid>
        <w:gridCol w:w="4563"/>
        <w:gridCol w:w="6012"/>
      </w:tblGrid>
      <w:tr w:rsidR="002F5906" w:rsidRPr="00AD7F0F" w14:paraId="46188F52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07EBE7D2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6012" w:type="dxa"/>
          </w:tcPr>
          <w:p w14:paraId="0029290D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37FDEDEB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373F0E1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Stock turnover</w:t>
            </w:r>
          </w:p>
        </w:tc>
        <w:tc>
          <w:tcPr>
            <w:tcW w:w="6012" w:type="dxa"/>
          </w:tcPr>
          <w:p w14:paraId="090C4D4B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Annual sales value ÷ stock value (as defined in the manual)</w:t>
            </w:r>
          </w:p>
        </w:tc>
      </w:tr>
      <w:tr w:rsidR="002F5906" w:rsidRPr="00AD7F0F" w14:paraId="54E7DF91" w14:textId="77777777" w:rsidTr="00AD7F0F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239D28A4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Stock days held</w:t>
            </w:r>
          </w:p>
        </w:tc>
        <w:tc>
          <w:tcPr>
            <w:tcW w:w="6012" w:type="dxa"/>
          </w:tcPr>
          <w:p w14:paraId="5F2CCE01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(Stock value ÷ annual sales value) × 365</w:t>
            </w:r>
          </w:p>
        </w:tc>
      </w:tr>
      <w:tr w:rsidR="002F5906" w:rsidRPr="00AD7F0F" w14:paraId="372C33F6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5E78AA65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Gross profit margin (%)</w:t>
            </w:r>
          </w:p>
        </w:tc>
        <w:tc>
          <w:tcPr>
            <w:tcW w:w="6012" w:type="dxa"/>
          </w:tcPr>
          <w:p w14:paraId="562DD409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(Profit ÷ sales) × 100</w:t>
            </w:r>
          </w:p>
        </w:tc>
      </w:tr>
      <w:tr w:rsidR="002F5906" w:rsidRPr="00AD7F0F" w14:paraId="26A706A2" w14:textId="77777777" w:rsidTr="00AD7F0F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35D2444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Annual usage value (ABC)</w:t>
            </w:r>
          </w:p>
        </w:tc>
        <w:tc>
          <w:tcPr>
            <w:tcW w:w="6012" w:type="dxa"/>
          </w:tcPr>
          <w:p w14:paraId="5E921E73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Annual quantity used × unit cost</w:t>
            </w:r>
          </w:p>
        </w:tc>
      </w:tr>
      <w:tr w:rsidR="002F5906" w:rsidRPr="00AD7F0F" w14:paraId="3C0FA37E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70B63B0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Percentage of total usage value</w:t>
            </w:r>
          </w:p>
        </w:tc>
        <w:tc>
          <w:tcPr>
            <w:tcW w:w="6012" w:type="dxa"/>
          </w:tcPr>
          <w:p w14:paraId="1A048FDC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(Item annual usage value ÷ total annual usage value) × 100</w:t>
            </w:r>
          </w:p>
        </w:tc>
      </w:tr>
      <w:tr w:rsidR="002F5906" w:rsidRPr="00AD7F0F" w14:paraId="6C925161" w14:textId="77777777" w:rsidTr="00AD7F0F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3" w:type="dxa"/>
          </w:tcPr>
          <w:p w14:paraId="3EFFF7E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Cumulative ABC share (%)</w:t>
            </w:r>
          </w:p>
        </w:tc>
        <w:tc>
          <w:tcPr>
            <w:tcW w:w="6012" w:type="dxa"/>
          </w:tcPr>
          <w:p w14:paraId="7CD75985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Cumulative annual usage value ÷ total annual usage value × 100</w:t>
            </w:r>
          </w:p>
        </w:tc>
      </w:tr>
    </w:tbl>
    <w:p w14:paraId="4448DF10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Use matching valuation bases. Standard inventory accounting often uses cost of goods sold ÷ average inventory; the manual’s examples use sales ÷ stock, so follow the stated question convention.</w:t>
      </w:r>
    </w:p>
    <w:p w14:paraId="3AA24726" w14:textId="380F192C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 xml:space="preserve">8  Location decisions </w:t>
      </w:r>
    </w:p>
    <w:tbl>
      <w:tblPr>
        <w:tblStyle w:val="LightShading-Accent1"/>
        <w:tblW w:w="10663" w:type="dxa"/>
        <w:tblLayout w:type="fixed"/>
        <w:tblLook w:val="04A0" w:firstRow="1" w:lastRow="0" w:firstColumn="1" w:lastColumn="0" w:noHBand="0" w:noVBand="1"/>
      </w:tblPr>
      <w:tblGrid>
        <w:gridCol w:w="4601"/>
        <w:gridCol w:w="6062"/>
      </w:tblGrid>
      <w:tr w:rsidR="002F5906" w:rsidRPr="00AD7F0F" w14:paraId="48F2CD1A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7E904A94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6062" w:type="dxa"/>
          </w:tcPr>
          <w:p w14:paraId="0089FE70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4E77603D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25B3440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Cost-volume analysis</w:t>
            </w:r>
          </w:p>
        </w:tc>
        <w:tc>
          <w:tcPr>
            <w:tcW w:w="6062" w:type="dxa"/>
          </w:tcPr>
          <w:p w14:paraId="69467159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cost (TC) = fixed cost (F) + variable cost per unit (v) × quantity (Q)</w:t>
            </w:r>
          </w:p>
        </w:tc>
      </w:tr>
      <w:tr w:rsidR="002F5906" w:rsidRPr="00AD7F0F" w14:paraId="09126C5C" w14:textId="77777777" w:rsidTr="00AD7F0F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54B3D621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Crossover quantity</w:t>
            </w:r>
          </w:p>
        </w:tc>
        <w:tc>
          <w:tcPr>
            <w:tcW w:w="6062" w:type="dxa"/>
          </w:tcPr>
          <w:p w14:paraId="122AA541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Q* = (F₂ − F₁) ÷ (v₁ − v₂), provided v₁ ≠ v₂</w:t>
            </w:r>
          </w:p>
        </w:tc>
      </w:tr>
      <w:tr w:rsidR="002F5906" w:rsidRPr="00AD7F0F" w14:paraId="10F709D5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22D3AC5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Operating profit</w:t>
            </w:r>
          </w:p>
        </w:tc>
        <w:tc>
          <w:tcPr>
            <w:tcW w:w="6062" w:type="dxa"/>
          </w:tcPr>
          <w:p w14:paraId="2D8636F4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Revenue − total cost = (selling price × Q) − TC</w:t>
            </w:r>
          </w:p>
        </w:tc>
      </w:tr>
      <w:tr w:rsidR="002F5906" w:rsidRPr="00AD7F0F" w14:paraId="265F21BB" w14:textId="77777777" w:rsidTr="00AD7F0F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7040E606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Centre of gravity X</w:t>
            </w:r>
          </w:p>
        </w:tc>
        <w:tc>
          <w:tcPr>
            <w:tcW w:w="6062" w:type="dxa"/>
          </w:tcPr>
          <w:p w14:paraId="04C5767C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X* = Σ(Qᵢ × xᵢ) ÷ ΣQᵢ</w:t>
            </w:r>
          </w:p>
        </w:tc>
      </w:tr>
      <w:tr w:rsidR="002F5906" w:rsidRPr="00AD7F0F" w14:paraId="217F9F3E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2A9DBCA1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Centre of gravity Y</w:t>
            </w:r>
          </w:p>
        </w:tc>
        <w:tc>
          <w:tcPr>
            <w:tcW w:w="6062" w:type="dxa"/>
          </w:tcPr>
          <w:p w14:paraId="005A4116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Y* = Σ(Qᵢ × yᵢ) ÷ ΣQᵢ</w:t>
            </w:r>
          </w:p>
        </w:tc>
      </w:tr>
      <w:tr w:rsidR="002F5906" w:rsidRPr="00AD7F0F" w14:paraId="4300889E" w14:textId="77777777" w:rsidTr="00AD7F0F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1" w:type="dxa"/>
          </w:tcPr>
          <w:p w14:paraId="380CD47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Weighted factor score</w:t>
            </w:r>
          </w:p>
        </w:tc>
        <w:tc>
          <w:tcPr>
            <w:tcW w:w="6062" w:type="dxa"/>
          </w:tcPr>
          <w:p w14:paraId="5F405B6F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score for a location = Σ(weightᵢ × ratingᵢ)</w:t>
            </w:r>
          </w:p>
        </w:tc>
      </w:tr>
    </w:tbl>
    <w:p w14:paraId="0685E055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Qᵢ is the load/demand weight for destination i. Weights in a factor-rating model should generally sum to 1 (or 100%).</w:t>
      </w:r>
    </w:p>
    <w:p w14:paraId="58FBC291" w14:textId="46B86BED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lastRenderedPageBreak/>
        <w:t xml:space="preserve">9  Make-or-buy decisions </w:t>
      </w:r>
    </w:p>
    <w:tbl>
      <w:tblPr>
        <w:tblStyle w:val="LightShading-Accent1"/>
        <w:tblW w:w="10926" w:type="dxa"/>
        <w:tblLayout w:type="fixed"/>
        <w:tblLook w:val="04A0" w:firstRow="1" w:lastRow="0" w:firstColumn="1" w:lastColumn="0" w:noHBand="0" w:noVBand="1"/>
      </w:tblPr>
      <w:tblGrid>
        <w:gridCol w:w="4715"/>
        <w:gridCol w:w="6211"/>
      </w:tblGrid>
      <w:tr w:rsidR="002F5906" w:rsidRPr="00AD7F0F" w14:paraId="6E06C011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5" w:type="dxa"/>
          </w:tcPr>
          <w:p w14:paraId="4D641C8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6211" w:type="dxa"/>
          </w:tcPr>
          <w:p w14:paraId="14A73772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42141495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5" w:type="dxa"/>
          </w:tcPr>
          <w:p w14:paraId="14033A19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Make cost</w:t>
            </w:r>
          </w:p>
        </w:tc>
        <w:tc>
          <w:tcPr>
            <w:tcW w:w="6211" w:type="dxa"/>
          </w:tcPr>
          <w:p w14:paraId="5AD8968A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TC_make = fixed in-house cost (F) + in-house variable cost per unit (v) × Q</w:t>
            </w:r>
          </w:p>
        </w:tc>
      </w:tr>
      <w:tr w:rsidR="002F5906" w:rsidRPr="00AD7F0F" w14:paraId="6097F900" w14:textId="77777777" w:rsidTr="00AD7F0F">
        <w:trPr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5" w:type="dxa"/>
          </w:tcPr>
          <w:p w14:paraId="176679EA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Buy cost</w:t>
            </w:r>
          </w:p>
        </w:tc>
        <w:tc>
          <w:tcPr>
            <w:tcW w:w="6211" w:type="dxa"/>
          </w:tcPr>
          <w:p w14:paraId="515FBB0E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TC_buy = supplier price per unit (P) × Q</w:t>
            </w:r>
          </w:p>
        </w:tc>
      </w:tr>
      <w:tr w:rsidR="002F5906" w:rsidRPr="00AD7F0F" w14:paraId="2BCD4BAF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5" w:type="dxa"/>
          </w:tcPr>
          <w:p w14:paraId="41386AF0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Break-even quantity</w:t>
            </w:r>
          </w:p>
        </w:tc>
        <w:tc>
          <w:tcPr>
            <w:tcW w:w="6211" w:type="dxa"/>
          </w:tcPr>
          <w:p w14:paraId="2C6B4F48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Q_BE = F ÷ (P − v), where P &gt; v</w:t>
            </w:r>
          </w:p>
        </w:tc>
      </w:tr>
      <w:tr w:rsidR="002F5906" w:rsidRPr="00AD7F0F" w14:paraId="5350D81D" w14:textId="77777777" w:rsidTr="00AD7F0F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5" w:type="dxa"/>
          </w:tcPr>
          <w:p w14:paraId="7DDD39D5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Cost difference</w:t>
            </w:r>
          </w:p>
        </w:tc>
        <w:tc>
          <w:tcPr>
            <w:tcW w:w="6211" w:type="dxa"/>
          </w:tcPr>
          <w:p w14:paraId="2B00A89A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TC_make − TC_buy; positive indicates buying is cheaper at that quantity</w:t>
            </w:r>
          </w:p>
        </w:tc>
      </w:tr>
    </w:tbl>
    <w:p w14:paraId="5F7FA4E7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If P ≤ v and F &gt; 0, there is no positive break-even quantity under these assumptions. Consider relevant non-financial factors.</w:t>
      </w:r>
    </w:p>
    <w:p w14:paraId="3EE61FFD" w14:textId="60F383F3" w:rsidR="002F5906" w:rsidRPr="00AD7F0F" w:rsidRDefault="00000000">
      <w:pPr>
        <w:pStyle w:val="Heading1"/>
        <w:rPr>
          <w:rFonts w:asciiTheme="majorBidi" w:hAnsiTheme="majorBidi"/>
          <w:color w:val="auto"/>
          <w:szCs w:val="24"/>
        </w:rPr>
      </w:pPr>
      <w:r w:rsidRPr="00AD7F0F">
        <w:rPr>
          <w:rFonts w:asciiTheme="majorBidi" w:hAnsiTheme="majorBidi"/>
          <w:color w:val="auto"/>
          <w:szCs w:val="24"/>
        </w:rPr>
        <w:t>10  Critical Path Analysis / C</w:t>
      </w:r>
      <w:r w:rsidR="0066652D" w:rsidRPr="00AD7F0F">
        <w:rPr>
          <w:rFonts w:asciiTheme="majorBidi" w:hAnsiTheme="majorBidi"/>
          <w:color w:val="auto"/>
          <w:szCs w:val="24"/>
        </w:rPr>
        <w:t>PM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4337"/>
        <w:gridCol w:w="5713"/>
      </w:tblGrid>
      <w:tr w:rsidR="002F5906" w:rsidRPr="00AD7F0F" w14:paraId="0D3D9D24" w14:textId="77777777" w:rsidTr="00AD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1D66003C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Measure</w:t>
            </w:r>
          </w:p>
        </w:tc>
        <w:tc>
          <w:tcPr>
            <w:tcW w:w="5713" w:type="dxa"/>
          </w:tcPr>
          <w:p w14:paraId="6D23B0AC" w14:textId="77777777" w:rsidR="002F5906" w:rsidRPr="00AD7F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Formula / meaning</w:t>
            </w:r>
          </w:p>
        </w:tc>
      </w:tr>
      <w:tr w:rsidR="002F5906" w:rsidRPr="00AD7F0F" w14:paraId="1A114BAE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0FC21BDD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Earliest finish</w:t>
            </w:r>
          </w:p>
        </w:tc>
        <w:tc>
          <w:tcPr>
            <w:tcW w:w="5713" w:type="dxa"/>
          </w:tcPr>
          <w:p w14:paraId="24B3A017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EF = ES + activity duration (D)</w:t>
            </w:r>
          </w:p>
        </w:tc>
      </w:tr>
      <w:tr w:rsidR="002F5906" w:rsidRPr="00AD7F0F" w14:paraId="62E17093" w14:textId="77777777" w:rsidTr="00AD7F0F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249103F7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Earliest start</w:t>
            </w:r>
          </w:p>
        </w:tc>
        <w:tc>
          <w:tcPr>
            <w:tcW w:w="5713" w:type="dxa"/>
          </w:tcPr>
          <w:p w14:paraId="6A51E595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ES = maximum EF of immediate predecessors; 0 at project start</w:t>
            </w:r>
          </w:p>
        </w:tc>
      </w:tr>
      <w:tr w:rsidR="002F5906" w:rsidRPr="00AD7F0F" w14:paraId="443B7618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7DA8A35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Latest start</w:t>
            </w:r>
          </w:p>
        </w:tc>
        <w:tc>
          <w:tcPr>
            <w:tcW w:w="5713" w:type="dxa"/>
          </w:tcPr>
          <w:p w14:paraId="499069E6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LS = LF − D</w:t>
            </w:r>
          </w:p>
        </w:tc>
      </w:tr>
      <w:tr w:rsidR="002F5906" w:rsidRPr="00AD7F0F" w14:paraId="63E332C3" w14:textId="77777777" w:rsidTr="00AD7F0F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382E52E2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Latest finish</w:t>
            </w:r>
          </w:p>
        </w:tc>
        <w:tc>
          <w:tcPr>
            <w:tcW w:w="5713" w:type="dxa"/>
          </w:tcPr>
          <w:p w14:paraId="642E6B9C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LF = minimum LS of immediate successors; project finish set to required/latest completion</w:t>
            </w:r>
          </w:p>
        </w:tc>
      </w:tr>
      <w:tr w:rsidR="002F5906" w:rsidRPr="00AD7F0F" w14:paraId="37F9A77E" w14:textId="77777777" w:rsidTr="00AD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1E1F3CAE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Total float / slack</w:t>
            </w:r>
          </w:p>
        </w:tc>
        <w:tc>
          <w:tcPr>
            <w:tcW w:w="5713" w:type="dxa"/>
          </w:tcPr>
          <w:p w14:paraId="2F67B0E2" w14:textId="77777777" w:rsidR="002F5906" w:rsidRPr="00AD7F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TF = LS − ES = LF − EF</w:t>
            </w:r>
          </w:p>
        </w:tc>
      </w:tr>
      <w:tr w:rsidR="002F5906" w:rsidRPr="00AD7F0F" w14:paraId="1D1AEA2B" w14:textId="77777777" w:rsidTr="00AD7F0F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7" w:type="dxa"/>
          </w:tcPr>
          <w:p w14:paraId="7F9B5AFF" w14:textId="77777777" w:rsidR="002F5906" w:rsidRPr="00AD7F0F" w:rsidRDefault="00000000">
            <w:pPr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Critical path</w:t>
            </w:r>
          </w:p>
        </w:tc>
        <w:tc>
          <w:tcPr>
            <w:tcW w:w="5713" w:type="dxa"/>
          </w:tcPr>
          <w:p w14:paraId="05FEDAC2" w14:textId="77777777" w:rsidR="002F5906" w:rsidRPr="00AD7F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D7F0F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 connected start-to-finish path with zero total float; project duration = longest path duration</w:t>
            </w:r>
          </w:p>
        </w:tc>
      </w:tr>
    </w:tbl>
    <w:p w14:paraId="2C96351C" w14:textId="77777777" w:rsidR="002F5906" w:rsidRPr="00AD7F0F" w:rsidRDefault="00000000">
      <w:pPr>
        <w:rPr>
          <w:rFonts w:asciiTheme="majorBidi" w:hAnsiTheme="majorBidi" w:cstheme="majorBidi"/>
          <w:sz w:val="24"/>
          <w:szCs w:val="24"/>
        </w:rPr>
      </w:pPr>
      <w:r w:rsidRPr="00AD7F0F">
        <w:rPr>
          <w:rFonts w:asciiTheme="majorBidi" w:hAnsiTheme="majorBidi" w:cstheme="majorBidi"/>
          <w:b/>
          <w:sz w:val="24"/>
          <w:szCs w:val="24"/>
        </w:rPr>
        <w:t xml:space="preserve">Important: </w:t>
      </w:r>
      <w:r w:rsidRPr="00AD7F0F">
        <w:rPr>
          <w:rFonts w:asciiTheme="majorBidi" w:hAnsiTheme="majorBidi" w:cstheme="majorBidi"/>
          <w:sz w:val="24"/>
          <w:szCs w:val="24"/>
        </w:rPr>
        <w:t>Forward pass determines earliest times; backward pass determines latest times. Use the module’s activity-on-node conventions.</w:t>
      </w:r>
    </w:p>
    <w:p w14:paraId="5F36EEB1" w14:textId="77777777" w:rsidR="002F5906" w:rsidRDefault="00000000">
      <w:pPr>
        <w:pStyle w:val="Heading1"/>
      </w:pPr>
      <w:r>
        <w:t>Formula selection checklist</w:t>
      </w:r>
    </w:p>
    <w:p w14:paraId="745EB38A" w14:textId="77777777" w:rsidR="0066652D" w:rsidRDefault="00000000">
      <w:r>
        <w:t xml:space="preserve">1. Identify what the question asks (rate, time, cost, capacity, percentage, or decision).   </w:t>
      </w:r>
    </w:p>
    <w:p w14:paraId="4CA2AADE" w14:textId="77777777" w:rsidR="0066652D" w:rsidRDefault="00000000">
      <w:r>
        <w:t xml:space="preserve">2. Record known variables and units.  </w:t>
      </w:r>
    </w:p>
    <w:p w14:paraId="6C2C317A" w14:textId="77777777" w:rsidR="0066652D" w:rsidRDefault="00000000">
      <w:r>
        <w:t xml:space="preserve"> 3. Select the matching formula.  </w:t>
      </w:r>
    </w:p>
    <w:p w14:paraId="35FC9F39" w14:textId="77777777" w:rsidR="0066652D" w:rsidRDefault="00000000">
      <w:r>
        <w:t xml:space="preserve"> 4. Convert minutes/hours, weeks/months, and percentages consistently.  </w:t>
      </w:r>
    </w:p>
    <w:p w14:paraId="596FEA25" w14:textId="767307BC" w:rsidR="002F5906" w:rsidRDefault="00000000">
      <w:r>
        <w:t xml:space="preserve"> 5. Calculate and label the result.   6. Critically evaluate its managerial meaning.</w:t>
      </w:r>
    </w:p>
    <w:sectPr w:rsidR="002F5906" w:rsidSect="00034616">
      <w:footerReference w:type="default" r:id="rId8"/>
      <w:pgSz w:w="12240" w:h="15840"/>
      <w:pgMar w:top="979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4229" w14:textId="77777777" w:rsidR="000A479A" w:rsidRDefault="000A479A">
      <w:pPr>
        <w:spacing w:after="0" w:line="240" w:lineRule="auto"/>
      </w:pPr>
      <w:r>
        <w:separator/>
      </w:r>
    </w:p>
  </w:endnote>
  <w:endnote w:type="continuationSeparator" w:id="0">
    <w:p w14:paraId="70A99793" w14:textId="77777777" w:rsidR="000A479A" w:rsidRDefault="000A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C243" w14:textId="0AA445BF" w:rsidR="002F5906" w:rsidRDefault="002F590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A830" w14:textId="77777777" w:rsidR="000A479A" w:rsidRDefault="000A479A">
      <w:pPr>
        <w:spacing w:after="0" w:line="240" w:lineRule="auto"/>
      </w:pPr>
      <w:r>
        <w:separator/>
      </w:r>
    </w:p>
  </w:footnote>
  <w:footnote w:type="continuationSeparator" w:id="0">
    <w:p w14:paraId="7B207DA0" w14:textId="77777777" w:rsidR="000A479A" w:rsidRDefault="000A4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2729">
    <w:abstractNumId w:val="8"/>
  </w:num>
  <w:num w:numId="2" w16cid:durableId="175458763">
    <w:abstractNumId w:val="6"/>
  </w:num>
  <w:num w:numId="3" w16cid:durableId="1524788209">
    <w:abstractNumId w:val="5"/>
  </w:num>
  <w:num w:numId="4" w16cid:durableId="2092118316">
    <w:abstractNumId w:val="4"/>
  </w:num>
  <w:num w:numId="5" w16cid:durableId="284773837">
    <w:abstractNumId w:val="7"/>
  </w:num>
  <w:num w:numId="6" w16cid:durableId="666786459">
    <w:abstractNumId w:val="3"/>
  </w:num>
  <w:num w:numId="7" w16cid:durableId="439182410">
    <w:abstractNumId w:val="2"/>
  </w:num>
  <w:num w:numId="8" w16cid:durableId="364061552">
    <w:abstractNumId w:val="1"/>
  </w:num>
  <w:num w:numId="9" w16cid:durableId="108353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9A"/>
    <w:rsid w:val="0015074B"/>
    <w:rsid w:val="0029639D"/>
    <w:rsid w:val="002F5906"/>
    <w:rsid w:val="002F6F2A"/>
    <w:rsid w:val="00326F90"/>
    <w:rsid w:val="0066652D"/>
    <w:rsid w:val="006A4034"/>
    <w:rsid w:val="00AA1D8D"/>
    <w:rsid w:val="00AD7F0F"/>
    <w:rsid w:val="00B47730"/>
    <w:rsid w:val="00B827E0"/>
    <w:rsid w:val="00CB0664"/>
    <w:rsid w:val="00EA2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103EA"/>
  <w14:defaultImageDpi w14:val="300"/>
  <w15:docId w15:val="{98671713-DFCB-4342-A746-04D50DF6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25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25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42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 Vann Yaroson</cp:lastModifiedBy>
  <cp:revision>3</cp:revision>
  <dcterms:created xsi:type="dcterms:W3CDTF">2026-10-14T11:17:00Z</dcterms:created>
  <dcterms:modified xsi:type="dcterms:W3CDTF">2026-10-14T16:12:00Z</dcterms:modified>
  <cp:category/>
</cp:coreProperties>
</file>