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A2206">
      <w:pPr>
        <w:tabs>
          <w:tab w:val="left" w:pos="1665"/>
        </w:tabs>
        <w:ind w:left="199"/>
        <w:rPr>
          <w:sz w:val="20"/>
        </w:rPr>
      </w:pPr>
      <w:r>
        <w:rPr>
          <w:sz w:val="20"/>
          <w:lang w:eastAsia="zh-CN"/>
        </w:rPr>
        <w:drawing>
          <wp:inline distT="0" distB="0" distL="0" distR="0">
            <wp:extent cx="796290" cy="79502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796807" cy="795337"/>
                    </a:xfrm>
                    <a:prstGeom prst="rect">
                      <a:avLst/>
                    </a:prstGeom>
                  </pic:spPr>
                </pic:pic>
              </a:graphicData>
            </a:graphic>
          </wp:inline>
        </w:drawing>
      </w:r>
      <w:r>
        <w:rPr>
          <w:sz w:val="20"/>
        </w:rPr>
        <w:tab/>
      </w:r>
      <w:r>
        <w:rPr>
          <w:sz w:val="20"/>
          <w:lang w:eastAsia="zh-CN"/>
        </w:rPr>
        <mc:AlternateContent>
          <mc:Choice Requires="wpg">
            <w:drawing>
              <wp:inline distT="0" distB="0" distL="0" distR="0">
                <wp:extent cx="1226185" cy="586740"/>
                <wp:effectExtent l="0" t="1270" r="5715" b="2540"/>
                <wp:docPr id="4" name="Group 4"/>
                <wp:cNvGraphicFramePr/>
                <a:graphic xmlns:a="http://schemas.openxmlformats.org/drawingml/2006/main">
                  <a:graphicData uri="http://schemas.microsoft.com/office/word/2010/wordprocessingGroup">
                    <wpg:wgp>
                      <wpg:cNvGrpSpPr/>
                      <wpg:grpSpPr>
                        <a:xfrm>
                          <a:off x="0" y="0"/>
                          <a:ext cx="1226185" cy="586740"/>
                          <a:chOff x="0" y="0"/>
                          <a:chExt cx="1931" cy="924"/>
                        </a:xfrm>
                      </wpg:grpSpPr>
                      <pic:pic xmlns:pic="http://schemas.openxmlformats.org/drawingml/2006/picture">
                        <pic:nvPicPr>
                          <pic:cNvPr id="5"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396" y="778"/>
                            <a:ext cx="208" cy="135"/>
                          </a:xfrm>
                          <a:prstGeom prst="rect">
                            <a:avLst/>
                          </a:prstGeom>
                          <a:noFill/>
                          <a:ln>
                            <a:noFill/>
                          </a:ln>
                        </pic:spPr>
                      </pic:pic>
                      <wps:wsp>
                        <wps:cNvPr id="6" name="Rectangle 4"/>
                        <wps:cNvSpPr>
                          <a:spLocks noChangeArrowheads="1"/>
                        </wps:cNvSpPr>
                        <wps:spPr bwMode="auto">
                          <a:xfrm>
                            <a:off x="634" y="780"/>
                            <a:ext cx="16" cy="130"/>
                          </a:xfrm>
                          <a:prstGeom prst="rect">
                            <a:avLst/>
                          </a:prstGeom>
                          <a:solidFill>
                            <a:srgbClr val="1B2D6D"/>
                          </a:solidFill>
                          <a:ln>
                            <a:noFill/>
                          </a:ln>
                        </wps:spPr>
                        <wps:bodyPr rot="0" vert="horz" wrap="square" lIns="91440" tIns="45720" rIns="91440" bIns="45720" anchor="t" anchorCtr="0" upright="1">
                          <a:noAutofit/>
                        </wps:bodyPr>
                      </wps:wsp>
                      <pic:pic xmlns:pic="http://schemas.openxmlformats.org/drawingml/2006/picture">
                        <pic:nvPicPr>
                          <pic:cNvPr id="7"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681" y="780"/>
                            <a:ext cx="223" cy="130"/>
                          </a:xfrm>
                          <a:prstGeom prst="rect">
                            <a:avLst/>
                          </a:prstGeom>
                          <a:noFill/>
                          <a:ln>
                            <a:noFill/>
                          </a:ln>
                        </pic:spPr>
                      </pic:pic>
                      <pic:pic xmlns:pic="http://schemas.openxmlformats.org/drawingml/2006/picture">
                        <pic:nvPicPr>
                          <pic:cNvPr id="8"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780"/>
                            <a:ext cx="213" cy="132"/>
                          </a:xfrm>
                          <a:prstGeom prst="rect">
                            <a:avLst/>
                          </a:prstGeom>
                          <a:noFill/>
                          <a:ln>
                            <a:noFill/>
                          </a:ln>
                        </pic:spPr>
                      </pic:pic>
                      <wps:wsp>
                        <wps:cNvPr id="9" name="Rectangle 7"/>
                        <wps:cNvSpPr>
                          <a:spLocks noChangeArrowheads="1"/>
                        </wps:cNvSpPr>
                        <wps:spPr bwMode="auto">
                          <a:xfrm>
                            <a:off x="294" y="767"/>
                            <a:ext cx="7" cy="157"/>
                          </a:xfrm>
                          <a:prstGeom prst="rect">
                            <a:avLst/>
                          </a:prstGeom>
                          <a:solidFill>
                            <a:srgbClr val="1B2D6D"/>
                          </a:solidFill>
                          <a:ln>
                            <a:noFill/>
                          </a:ln>
                        </wps:spPr>
                        <wps:bodyPr rot="0" vert="horz" wrap="square" lIns="91440" tIns="45720" rIns="91440" bIns="45720" anchor="t" anchorCtr="0" upright="1">
                          <a:noAutofit/>
                        </wps:bodyPr>
                      </wps:wsp>
                      <pic:pic xmlns:pic="http://schemas.openxmlformats.org/drawingml/2006/picture">
                        <pic:nvPicPr>
                          <pic:cNvPr id="1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31" cy="924"/>
                          </a:xfrm>
                          <a:prstGeom prst="rect">
                            <a:avLst/>
                          </a:prstGeom>
                          <a:noFill/>
                          <a:ln>
                            <a:noFill/>
                          </a:ln>
                        </pic:spPr>
                      </pic:pic>
                    </wpg:wgp>
                  </a:graphicData>
                </a:graphic>
              </wp:inline>
            </w:drawing>
          </mc:Choice>
          <mc:Fallback>
            <w:pict>
              <v:group id="Group 4" o:spid="_x0000_s1026" o:spt="203" style="height:46.2pt;width:96.55pt;" coordsize="1931,924" o:gfxdata="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">
                <o:lock v:ext="edit" aspectratio="f"/>
                <v:shape id="Picture 3" o:spid="_x0000_s1026" o:spt="75" type="#_x0000_t75" style="position:absolute;left:396;top:778;height:135;width:208;" filled="f" o:preferrelative="t" stroked="f" coordsize="21600,21600" o:gfxdata="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ey274A&#10;AADaAAAADwAAAAAAAAABACAAAAAiAAAAZHJzL2Rvd25yZXYueG1sUEsBAhQAFAAAAAgAh07iQDMv&#10;BZ47AAAAOQAAABAAAAAAAAAAAQAgAAAADQEAAGRycy9zaGFwZXhtbC54bWxQSwUGAAAAAAYABgBb&#10;AQAAtwMAAAAA&#10;">
                  <v:fill on="f" focussize="0,0"/>
                  <v:stroke on="f"/>
                  <v:imagedata r:id="rId7" o:title=""/>
                  <o:lock v:ext="edit" aspectratio="t"/>
                </v:shape>
                <v:rect id="Rectangle 4" o:spid="_x0000_s1026" o:spt="1" style="position:absolute;left:634;top:780;height:130;width:16;" fillcolor="#1B2D6D" filled="t" stroked="f" coordsize="21600,21600" o:gfxdata="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1URPvQAA&#10;ANoAAAAPAAAAAAAAAAEAIAAAACIAAABkcnMvZG93bnJldi54bWxQSwECFAAUAAAACACHTuJAMy8F&#10;njsAAAA5AAAAEAAAAAAAAAABACAAAAAMAQAAZHJzL3NoYXBleG1sLnhtbFBLBQYAAAAABgAGAFsB&#10;AAC2AwAAAAA=&#10;">
                  <v:fill on="t" focussize="0,0"/>
                  <v:stroke on="f"/>
                  <v:imagedata o:title=""/>
                  <o:lock v:ext="edit" aspectratio="f"/>
                </v:rect>
                <v:shape id="Picture 5" o:spid="_x0000_s1026" o:spt="75" type="#_x0000_t75" style="position:absolute;left:681;top:780;height:130;width:223;" filled="f" o:preferrelative="t" stroked="f" coordsize="21600,21600" o:gfxdata="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QXZyLsAAADa&#10;AAAADwAAAAAAAAABACAAAAAiAAAAZHJzL2Rvd25yZXYueG1sUEsBAhQAFAAAAAgAh07iQDMvBZ47&#10;AAAAOQAAABAAAAAAAAAAAQAgAAAACgEAAGRycy9zaGFwZXhtbC54bWxQSwUGAAAAAAYABgBbAQAA&#10;tAMAAAAA&#10;">
                  <v:fill on="f" focussize="0,0"/>
                  <v:stroke on="f"/>
                  <v:imagedata r:id="rId8" o:title=""/>
                  <o:lock v:ext="edit" aspectratio="t"/>
                </v:shape>
                <v:shape id="Picture 6" o:spid="_x0000_s1026" o:spt="75" type="#_x0000_t75" style="position:absolute;left:0;top:780;height:132;width:213;" filled="f" o:preferrelative="t" stroked="f" coordsize="21600,21600" o:gfxdata="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vVY3ugAAANoA&#10;AAAPAAAAAAAAAAEAIAAAACIAAABkcnMvZG93bnJldi54bWxQSwECFAAUAAAACACHTuJAMy8FnjsA&#10;AAA5AAAAEAAAAAAAAAABACAAAAAJAQAAZHJzL3NoYXBleG1sLnhtbFBLBQYAAAAABgAGAFsBAACz&#10;AwAAAAA=&#10;">
                  <v:fill on="f" focussize="0,0"/>
                  <v:stroke on="f"/>
                  <v:imagedata r:id="rId9" o:title=""/>
                  <o:lock v:ext="edit" aspectratio="t"/>
                </v:shape>
                <v:rect id="Rectangle 7" o:spid="_x0000_s1026" o:spt="1" style="position:absolute;left:294;top:767;height:157;width:7;" fillcolor="#1B2D6D" filled="t" stroked="f" coordsize="21600,21600" o:gfxdata="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K0D28AAAA&#10;2gAAAA8AAAAAAAAAAQAgAAAAIgAAAGRycy9kb3ducmV2LnhtbFBLAQIUABQAAAAIAIdO4kAzLwWe&#10;OwAAADkAAAAQAAAAAAAAAAEAIAAAAAsBAABkcnMvc2hhcGV4bWwueG1sUEsFBgAAAAAGAAYAWwEA&#10;ALUDAAAAAA==&#10;">
                  <v:fill on="t" focussize="0,0"/>
                  <v:stroke on="f"/>
                  <v:imagedata o:title=""/>
                  <o:lock v:ext="edit" aspectratio="f"/>
                </v:rect>
                <v:shape id="Picture 8" o:spid="_x0000_s1026" o:spt="75" type="#_x0000_t75" style="position:absolute;left:0;top:0;height:924;width:1931;" filled="f" o:preferrelative="t" stroked="f" coordsize="21600,21600" o:gfxdata="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wbE28AAAA&#10;2wAAAA8AAAAAAAAAAQAgAAAAIgAAAGRycy9kb3ducmV2LnhtbFBLAQIUABQAAAAIAIdO4kAzLwWe&#10;OwAAADkAAAAQAAAAAAAAAAEAIAAAAAsBAABkcnMvc2hhcGV4bWwueG1sUEsFBgAAAAAGAAYAWwEA&#10;ALUDAAAAAA==&#10;">
                  <v:fill on="f" focussize="0,0"/>
                  <v:stroke on="f"/>
                  <v:imagedata r:id="rId10" o:title=""/>
                  <o:lock v:ext="edit" aspectratio="t"/>
                </v:shape>
                <w10:wrap type="none"/>
                <w10:anchorlock/>
              </v:group>
            </w:pict>
          </mc:Fallback>
        </mc:AlternateContent>
      </w:r>
    </w:p>
    <w:p w14:paraId="08B80F02">
      <w:pPr>
        <w:pStyle w:val="3"/>
        <w:spacing w:before="1"/>
        <w:rPr>
          <w:sz w:val="14"/>
        </w:rPr>
      </w:pPr>
    </w:p>
    <w:p w14:paraId="18247680">
      <w:pPr>
        <w:pStyle w:val="5"/>
      </w:pPr>
      <w:r>
        <w:rPr>
          <w:color w:val="131F50"/>
        </w:rPr>
        <w:t>FHSS</w:t>
      </w:r>
    </w:p>
    <w:p w14:paraId="49E2DDDF">
      <w:pPr>
        <w:spacing w:before="320"/>
        <w:ind w:left="200"/>
        <w:rPr>
          <w:rFonts w:ascii="Arial"/>
          <w:b/>
          <w:sz w:val="32"/>
        </w:rPr>
      </w:pPr>
      <w:r>
        <w:rPr>
          <w:rFonts w:ascii="Arial"/>
          <w:b/>
          <w:color w:val="009BBC"/>
          <w:sz w:val="32"/>
        </w:rPr>
        <w:t>Coursework Coversheet</w:t>
      </w:r>
    </w:p>
    <w:p w14:paraId="692C655C">
      <w:pPr>
        <w:pStyle w:val="3"/>
        <w:rPr>
          <w:rFonts w:ascii="Arial"/>
          <w:b/>
          <w:sz w:val="20"/>
        </w:rPr>
      </w:pPr>
    </w:p>
    <w:p w14:paraId="6739771A">
      <w:pPr>
        <w:pStyle w:val="3"/>
        <w:spacing w:before="7"/>
        <w:rPr>
          <w:rFonts w:ascii="Arial"/>
          <w:b/>
          <w:sz w:val="26"/>
        </w:rPr>
      </w:pPr>
    </w:p>
    <w:tbl>
      <w:tblPr>
        <w:tblStyle w:val="6"/>
        <w:tblW w:w="0" w:type="auto"/>
        <w:tblInd w:w="115" w:type="dxa"/>
        <w:tblLayout w:type="fixed"/>
        <w:tblCellMar>
          <w:top w:w="0" w:type="dxa"/>
          <w:left w:w="0" w:type="dxa"/>
          <w:bottom w:w="0" w:type="dxa"/>
          <w:right w:w="0" w:type="dxa"/>
        </w:tblCellMar>
      </w:tblPr>
      <w:tblGrid>
        <w:gridCol w:w="2841"/>
        <w:gridCol w:w="6280"/>
      </w:tblGrid>
      <w:tr w14:paraId="38F6E732">
        <w:trPr>
          <w:trHeight w:val="403" w:hRule="atLeast"/>
        </w:trPr>
        <w:tc>
          <w:tcPr>
            <w:tcW w:w="2841" w:type="dxa"/>
          </w:tcPr>
          <w:p w14:paraId="229B03E1">
            <w:pPr>
              <w:pStyle w:val="11"/>
              <w:spacing w:before="3"/>
              <w:ind w:left="200"/>
              <w:jc w:val="left"/>
              <w:rPr>
                <w:b/>
                <w:sz w:val="24"/>
              </w:rPr>
            </w:pPr>
            <w:r>
              <w:rPr>
                <w:b/>
                <w:sz w:val="24"/>
              </w:rPr>
              <w:t>Module Code:</w:t>
            </w:r>
          </w:p>
        </w:tc>
        <w:tc>
          <w:tcPr>
            <w:tcW w:w="6280" w:type="dxa"/>
            <w:tcBorders>
              <w:bottom w:val="single" w:color="000000" w:sz="4" w:space="0"/>
            </w:tcBorders>
          </w:tcPr>
          <w:p w14:paraId="2FF083A4">
            <w:pPr>
              <w:pStyle w:val="11"/>
              <w:spacing w:before="0" w:line="247" w:lineRule="exact"/>
              <w:ind w:left="114"/>
              <w:jc w:val="left"/>
            </w:pPr>
            <w:r>
              <w:t>INCM4038</w:t>
            </w:r>
          </w:p>
        </w:tc>
      </w:tr>
      <w:tr w14:paraId="1062BAB0">
        <w:trPr>
          <w:trHeight w:val="525" w:hRule="atLeast"/>
        </w:trPr>
        <w:tc>
          <w:tcPr>
            <w:tcW w:w="2841" w:type="dxa"/>
          </w:tcPr>
          <w:p w14:paraId="731040FA">
            <w:pPr>
              <w:pStyle w:val="11"/>
              <w:spacing w:before="127"/>
              <w:ind w:left="200"/>
              <w:jc w:val="left"/>
              <w:rPr>
                <w:b/>
                <w:sz w:val="24"/>
              </w:rPr>
            </w:pPr>
            <w:r>
              <w:rPr>
                <w:b/>
                <w:sz w:val="24"/>
              </w:rPr>
              <w:t>Module Title:</w:t>
            </w:r>
          </w:p>
        </w:tc>
        <w:tc>
          <w:tcPr>
            <w:tcW w:w="6280" w:type="dxa"/>
            <w:tcBorders>
              <w:top w:val="single" w:color="000000" w:sz="4" w:space="0"/>
              <w:bottom w:val="single" w:color="000000" w:sz="4" w:space="0"/>
            </w:tcBorders>
          </w:tcPr>
          <w:p w14:paraId="5199B287">
            <w:pPr>
              <w:pStyle w:val="11"/>
              <w:spacing w:before="124"/>
              <w:ind w:left="114"/>
              <w:jc w:val="left"/>
            </w:pPr>
            <w:r>
              <w:t>Media and Communication Research Methods 1</w:t>
            </w:r>
          </w:p>
        </w:tc>
      </w:tr>
      <w:tr w14:paraId="00CFFAAA">
        <w:trPr>
          <w:trHeight w:val="528" w:hRule="atLeast"/>
        </w:trPr>
        <w:tc>
          <w:tcPr>
            <w:tcW w:w="2841" w:type="dxa"/>
          </w:tcPr>
          <w:p w14:paraId="36A0BD04">
            <w:pPr>
              <w:pStyle w:val="11"/>
              <w:spacing w:before="130"/>
              <w:ind w:left="200"/>
              <w:jc w:val="left"/>
              <w:rPr>
                <w:b/>
                <w:sz w:val="24"/>
              </w:rPr>
            </w:pPr>
            <w:r>
              <w:rPr>
                <w:b/>
                <w:sz w:val="24"/>
              </w:rPr>
              <w:t>Word Count:</w:t>
            </w:r>
          </w:p>
        </w:tc>
        <w:tc>
          <w:tcPr>
            <w:tcW w:w="6280" w:type="dxa"/>
            <w:tcBorders>
              <w:top w:val="single" w:color="000000" w:sz="4" w:space="0"/>
              <w:bottom w:val="single" w:color="000000" w:sz="4" w:space="0"/>
            </w:tcBorders>
          </w:tcPr>
          <w:p w14:paraId="4F801C71">
            <w:pPr>
              <w:pStyle w:val="11"/>
              <w:spacing w:before="120"/>
              <w:ind w:left="114"/>
              <w:jc w:val="left"/>
              <w:rPr>
                <w:rFonts w:hint="default" w:eastAsia="宋体"/>
                <w:lang w:val="en-US" w:eastAsia="zh-CN"/>
              </w:rPr>
            </w:pPr>
            <w:r>
              <w:rPr>
                <w:rFonts w:hint="eastAsia" w:eastAsia="宋体"/>
                <w:lang w:val="en-US" w:eastAsia="zh-CN"/>
              </w:rPr>
              <w:t>17</w:t>
            </w:r>
            <w:r>
              <w:rPr>
                <w:rFonts w:hint="default" w:eastAsia="宋体"/>
                <w:lang w:val="en-US" w:eastAsia="zh-CN"/>
              </w:rPr>
              <w:t>70</w:t>
            </w:r>
          </w:p>
        </w:tc>
      </w:tr>
      <w:tr w14:paraId="10155A4B">
        <w:trPr>
          <w:trHeight w:val="528" w:hRule="atLeast"/>
        </w:trPr>
        <w:tc>
          <w:tcPr>
            <w:tcW w:w="2841" w:type="dxa"/>
          </w:tcPr>
          <w:p w14:paraId="2EC2463D">
            <w:pPr>
              <w:pStyle w:val="11"/>
              <w:spacing w:before="130"/>
              <w:ind w:left="200"/>
              <w:jc w:val="left"/>
              <w:rPr>
                <w:b/>
                <w:sz w:val="24"/>
              </w:rPr>
            </w:pPr>
            <w:r>
              <w:rPr>
                <w:b/>
                <w:sz w:val="24"/>
              </w:rPr>
              <w:t>Coursework Title:</w:t>
            </w:r>
          </w:p>
        </w:tc>
        <w:tc>
          <w:tcPr>
            <w:tcW w:w="6280" w:type="dxa"/>
            <w:tcBorders>
              <w:top w:val="single" w:color="000000" w:sz="4" w:space="0"/>
              <w:bottom w:val="single" w:color="000000" w:sz="4" w:space="0"/>
            </w:tcBorders>
          </w:tcPr>
          <w:p w14:paraId="6E0D5225">
            <w:pPr>
              <w:pStyle w:val="11"/>
              <w:spacing w:before="120"/>
              <w:ind w:left="114"/>
              <w:jc w:val="left"/>
            </w:pPr>
            <w:r>
              <w:t>Literature review</w:t>
            </w:r>
          </w:p>
          <w:p w14:paraId="36EAD12F">
            <w:pPr>
              <w:keepNext w:val="0"/>
              <w:keepLines w:val="0"/>
              <w:pageBreakBefore w:val="0"/>
              <w:kinsoku/>
              <w:wordWrap/>
              <w:overflowPunct/>
              <w:topLinePunct w:val="0"/>
              <w:autoSpaceDE w:val="0"/>
              <w:autoSpaceDN w:val="0"/>
              <w:bidi w:val="0"/>
              <w:adjustRightInd/>
              <w:snapToGrid/>
              <w:spacing w:line="360" w:lineRule="auto"/>
              <w:textAlignment w:val="auto"/>
              <w:rPr>
                <w:rFonts w:hint="eastAsia" w:eastAsia="宋体"/>
                <w:lang w:val="en-US" w:eastAsia="zh-CN"/>
              </w:rPr>
            </w:pPr>
            <w:r>
              <w:rPr>
                <w:rFonts w:hint="eastAsia" w:eastAsia="宋体"/>
                <w:lang w:val="en-US" w:eastAsia="zh-CN"/>
              </w:rPr>
              <w:t>Topic：</w:t>
            </w:r>
            <w:r>
              <w:rPr>
                <w:rFonts w:hint="default" w:ascii="Arial" w:hAnsi="Arial" w:eastAsia="Arial" w:cs="Arial"/>
                <w:sz w:val="22"/>
                <w:szCs w:val="22"/>
                <w:lang w:val="en-US" w:eastAsia="en-US" w:bidi="ar-SA"/>
              </w:rPr>
              <w:t>Analysis of Green Advertising Strategies for International Sports Brands</w:t>
            </w:r>
          </w:p>
        </w:tc>
      </w:tr>
    </w:tbl>
    <w:p w14:paraId="45CFF68B">
      <w:pPr>
        <w:pStyle w:val="3"/>
        <w:rPr>
          <w:rFonts w:ascii="Arial"/>
          <w:b/>
          <w:sz w:val="20"/>
        </w:rPr>
      </w:pPr>
    </w:p>
    <w:p w14:paraId="56320178">
      <w:pPr>
        <w:pStyle w:val="3"/>
        <w:spacing w:before="9"/>
        <w:rPr>
          <w:rFonts w:ascii="Arial"/>
          <w:b/>
          <w:sz w:val="28"/>
        </w:rPr>
      </w:pPr>
    </w:p>
    <w:tbl>
      <w:tblPr>
        <w:tblStyle w:val="6"/>
        <w:tblW w:w="0" w:type="auto"/>
        <w:tblInd w:w="2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8344"/>
      </w:tblGrid>
      <w:tr w14:paraId="643B8C76">
        <w:trPr>
          <w:trHeight w:val="525" w:hRule="atLeast"/>
        </w:trPr>
        <w:tc>
          <w:tcPr>
            <w:tcW w:w="9018" w:type="dxa"/>
            <w:gridSpan w:val="2"/>
          </w:tcPr>
          <w:p w14:paraId="576F4F21">
            <w:pPr>
              <w:pStyle w:val="11"/>
              <w:spacing w:before="151"/>
              <w:jc w:val="left"/>
              <w:rPr>
                <w:b/>
              </w:rPr>
            </w:pPr>
            <w:r>
              <w:rPr>
                <w:b/>
              </w:rPr>
              <w:t xml:space="preserve">Extenuating Circumstances – </w:t>
            </w:r>
            <w:r>
              <w:rPr>
                <w:b/>
                <w:color w:val="FF0000"/>
              </w:rPr>
              <w:t>TICK ONE</w:t>
            </w:r>
          </w:p>
        </w:tc>
      </w:tr>
      <w:tr w14:paraId="17695AA6">
        <w:trPr>
          <w:trHeight w:val="510" w:hRule="atLeast"/>
        </w:trPr>
        <w:tc>
          <w:tcPr>
            <w:tcW w:w="674" w:type="dxa"/>
          </w:tcPr>
          <w:p w14:paraId="5B888526">
            <w:pPr>
              <w:pStyle w:val="11"/>
              <w:spacing w:before="110"/>
              <w:jc w:val="left"/>
              <w:rPr>
                <w:rFonts w:ascii="Segoe UI Symbol" w:hAnsi="Segoe UI Symbol"/>
                <w:b/>
              </w:rPr>
            </w:pPr>
            <w:sdt>
              <w:sdtPr>
                <w:rPr>
                  <w:b/>
                </w:rPr>
                <w:id w:val="-1"/>
                <w14:checkbox>
                  <w14:checked w14:val="1"/>
                  <w14:checkedState w14:val="2612" w14:font="MS Gothic"/>
                  <w14:uncheckedState w14:val="2610" w14:font="MS Gothic"/>
                </w14:checkbox>
              </w:sdtPr>
              <w:sdtEndPr>
                <w:rPr>
                  <w:b/>
                </w:rPr>
              </w:sdtEndPr>
              <w:sdtContent>
                <w:r>
                  <w:rPr>
                    <w:rFonts w:hint="eastAsia" w:ascii="MS Gothic" w:hAnsi="MS Gothic" w:eastAsia="MS Gothic" w:cs="Arial"/>
                    <w:b/>
                    <w:sz w:val="22"/>
                    <w:szCs w:val="22"/>
                    <w:lang w:val="en-US" w:eastAsia="en-US" w:bidi="ar-SA"/>
                  </w:rPr>
                  <w:t>☒</w:t>
                </w:r>
              </w:sdtContent>
            </w:sdt>
          </w:p>
        </w:tc>
        <w:tc>
          <w:tcPr>
            <w:tcW w:w="8344" w:type="dxa"/>
          </w:tcPr>
          <w:p w14:paraId="1F68ED6E">
            <w:pPr>
              <w:pStyle w:val="11"/>
              <w:spacing w:before="144"/>
              <w:ind w:left="108" w:right="-15"/>
              <w:jc w:val="left"/>
            </w:pPr>
            <w:r>
              <w:t>I</w:t>
            </w:r>
            <w:r>
              <w:rPr>
                <w:spacing w:val="-10"/>
              </w:rPr>
              <w:t xml:space="preserve"> </w:t>
            </w:r>
            <w:r>
              <w:t>have</w:t>
            </w:r>
            <w:r>
              <w:rPr>
                <w:spacing w:val="-13"/>
              </w:rPr>
              <w:t xml:space="preserve"> </w:t>
            </w:r>
            <w:r>
              <w:rPr>
                <w:b/>
              </w:rPr>
              <w:t>*not*</w:t>
            </w:r>
            <w:r>
              <w:rPr>
                <w:b/>
                <w:spacing w:val="-13"/>
              </w:rPr>
              <w:t xml:space="preserve"> </w:t>
            </w:r>
            <w:r>
              <w:t>filed</w:t>
            </w:r>
            <w:r>
              <w:rPr>
                <w:spacing w:val="-11"/>
              </w:rPr>
              <w:t xml:space="preserve"> </w:t>
            </w:r>
            <w:r>
              <w:t>for</w:t>
            </w:r>
            <w:r>
              <w:rPr>
                <w:spacing w:val="-10"/>
              </w:rPr>
              <w:t xml:space="preserve"> </w:t>
            </w:r>
            <w:r>
              <w:t>extenuating</w:t>
            </w:r>
            <w:r>
              <w:rPr>
                <w:spacing w:val="-10"/>
              </w:rPr>
              <w:t xml:space="preserve"> </w:t>
            </w:r>
            <w:r>
              <w:t>circumstances</w:t>
            </w:r>
            <w:r>
              <w:rPr>
                <w:spacing w:val="-11"/>
              </w:rPr>
              <w:t xml:space="preserve"> </w:t>
            </w:r>
            <w:r>
              <w:t>in</w:t>
            </w:r>
            <w:r>
              <w:rPr>
                <w:spacing w:val="-15"/>
              </w:rPr>
              <w:t xml:space="preserve"> </w:t>
            </w:r>
            <w:r>
              <w:t>relation</w:t>
            </w:r>
            <w:r>
              <w:rPr>
                <w:spacing w:val="-10"/>
              </w:rPr>
              <w:t xml:space="preserve"> </w:t>
            </w:r>
            <w:r>
              <w:t>to</w:t>
            </w:r>
            <w:r>
              <w:rPr>
                <w:spacing w:val="-14"/>
              </w:rPr>
              <w:t xml:space="preserve"> </w:t>
            </w:r>
            <w:r>
              <w:t>this</w:t>
            </w:r>
            <w:r>
              <w:rPr>
                <w:spacing w:val="-12"/>
              </w:rPr>
              <w:t xml:space="preserve"> </w:t>
            </w:r>
            <w:r>
              <w:t>piece</w:t>
            </w:r>
            <w:r>
              <w:rPr>
                <w:spacing w:val="-12"/>
              </w:rPr>
              <w:t xml:space="preserve"> </w:t>
            </w:r>
            <w:r>
              <w:t>of</w:t>
            </w:r>
            <w:r>
              <w:rPr>
                <w:spacing w:val="-9"/>
              </w:rPr>
              <w:t xml:space="preserve"> </w:t>
            </w:r>
            <w:r>
              <w:t>coursework.</w:t>
            </w:r>
          </w:p>
        </w:tc>
      </w:tr>
      <w:tr w14:paraId="21934710">
        <w:trPr>
          <w:trHeight w:val="398" w:hRule="atLeast"/>
        </w:trPr>
        <w:tc>
          <w:tcPr>
            <w:tcW w:w="674" w:type="dxa"/>
          </w:tcPr>
          <w:p w14:paraId="3FC742EF">
            <w:pPr>
              <w:pStyle w:val="11"/>
              <w:spacing w:before="52"/>
              <w:jc w:val="left"/>
              <w:rPr>
                <w:rFonts w:ascii="Segoe UI Symbol" w:hAnsi="Segoe UI Symbol"/>
                <w:b/>
              </w:rPr>
            </w:pPr>
            <w:sdt>
              <w:sdtPr>
                <w:rPr>
                  <w:b/>
                </w:rPr>
                <w:id w:val="1937862882"/>
                <w14:checkbox>
                  <w14:checked w14:val="0"/>
                  <w14:checkedState w14:val="2612" w14:font="MS Gothic"/>
                  <w14:uncheckedState w14:val="2610" w14:font="MS Gothic"/>
                </w14:checkbox>
              </w:sdtPr>
              <w:sdtEndPr>
                <w:rPr>
                  <w:b/>
                </w:rPr>
              </w:sdtEndPr>
              <w:sdtContent>
                <w:r>
                  <w:rPr>
                    <w:rFonts w:hint="eastAsia" w:ascii="MS Gothic" w:hAnsi="MS Gothic" w:eastAsia="MS Gothic"/>
                    <w:b/>
                  </w:rPr>
                  <w:t>☐</w:t>
                </w:r>
              </w:sdtContent>
            </w:sdt>
            <w:r>
              <w:rPr>
                <w:b/>
              </w:rPr>
              <w:t xml:space="preserve"> </w:t>
            </w:r>
          </w:p>
        </w:tc>
        <w:tc>
          <w:tcPr>
            <w:tcW w:w="8344" w:type="dxa"/>
          </w:tcPr>
          <w:p w14:paraId="5A5FA03E">
            <w:pPr>
              <w:pStyle w:val="11"/>
              <w:spacing w:before="86"/>
              <w:ind w:left="108"/>
              <w:jc w:val="left"/>
            </w:pPr>
            <w:r>
              <w:t>I have filed for extenuating circumstances in relation to this piece of coursework.</w:t>
            </w:r>
          </w:p>
        </w:tc>
      </w:tr>
    </w:tbl>
    <w:p w14:paraId="2A19F0CE">
      <w:pPr>
        <w:pStyle w:val="3"/>
        <w:spacing w:before="2"/>
        <w:rPr>
          <w:rFonts w:ascii="Arial"/>
          <w:b/>
        </w:rPr>
      </w:pPr>
    </w:p>
    <w:tbl>
      <w:tblPr>
        <w:tblStyle w:val="6"/>
        <w:tblW w:w="0" w:type="auto"/>
        <w:tblInd w:w="2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210" w:type="dxa"/>
        </w:tblCellMar>
      </w:tblPr>
      <w:tblGrid>
        <w:gridCol w:w="9018"/>
      </w:tblGrid>
      <w:tr w14:paraId="41BC8BA2">
        <w:trPr>
          <w:trHeight w:val="522" w:hRule="atLeast"/>
        </w:trPr>
        <w:tc>
          <w:tcPr>
            <w:tcW w:w="9018" w:type="dxa"/>
          </w:tcPr>
          <w:p w14:paraId="2ED1CD45">
            <w:pPr>
              <w:pStyle w:val="11"/>
              <w:spacing w:before="149"/>
              <w:jc w:val="left"/>
              <w:rPr>
                <w:b/>
              </w:rPr>
            </w:pPr>
            <w:r>
              <w:rPr>
                <w:b/>
              </w:rPr>
              <w:t>Plagiarism</w:t>
            </w:r>
          </w:p>
        </w:tc>
      </w:tr>
      <w:tr w14:paraId="39633B4A">
        <w:trPr>
          <w:trHeight w:val="1401" w:hRule="atLeast"/>
        </w:trPr>
        <w:tc>
          <w:tcPr>
            <w:tcW w:w="9018" w:type="dxa"/>
          </w:tcPr>
          <w:p w14:paraId="7945AF33">
            <w:pPr>
              <w:pStyle w:val="11"/>
              <w:spacing w:before="28" w:line="266" w:lineRule="auto"/>
              <w:ind w:right="-29"/>
              <w:jc w:val="both"/>
              <w:rPr>
                <w:i/>
              </w:rPr>
            </w:pPr>
            <w:r>
              <w:rPr>
                <w:i/>
              </w:rPr>
              <w:t>By submitting your work to Turnitin you are confirming that you have read and understood the relevant information on plagiarism and the penalties that may be imposed where an academic offence is committed. You are confirming that this submission is your own work and</w:t>
            </w:r>
            <w:r>
              <w:rPr>
                <w:i/>
                <w:spacing w:val="-13"/>
              </w:rPr>
              <w:t xml:space="preserve"> </w:t>
            </w:r>
            <w:r>
              <w:rPr>
                <w:i/>
              </w:rPr>
              <w:t>that</w:t>
            </w:r>
            <w:r>
              <w:rPr>
                <w:i/>
                <w:spacing w:val="-11"/>
              </w:rPr>
              <w:t xml:space="preserve"> </w:t>
            </w:r>
            <w:r>
              <w:rPr>
                <w:i/>
              </w:rPr>
              <w:t>you</w:t>
            </w:r>
            <w:r>
              <w:rPr>
                <w:i/>
                <w:spacing w:val="-13"/>
              </w:rPr>
              <w:t xml:space="preserve"> </w:t>
            </w:r>
            <w:r>
              <w:rPr>
                <w:i/>
              </w:rPr>
              <w:t>accept</w:t>
            </w:r>
            <w:r>
              <w:rPr>
                <w:i/>
                <w:spacing w:val="-11"/>
              </w:rPr>
              <w:t xml:space="preserve"> </w:t>
            </w:r>
            <w:r>
              <w:rPr>
                <w:i/>
              </w:rPr>
              <w:t>all</w:t>
            </w:r>
            <w:r>
              <w:rPr>
                <w:i/>
                <w:spacing w:val="-14"/>
              </w:rPr>
              <w:t xml:space="preserve"> </w:t>
            </w:r>
            <w:r>
              <w:rPr>
                <w:i/>
              </w:rPr>
              <w:t>responsibility</w:t>
            </w:r>
            <w:r>
              <w:rPr>
                <w:i/>
                <w:spacing w:val="-10"/>
              </w:rPr>
              <w:t xml:space="preserve"> </w:t>
            </w:r>
            <w:r>
              <w:rPr>
                <w:i/>
              </w:rPr>
              <w:t>for</w:t>
            </w:r>
            <w:r>
              <w:rPr>
                <w:i/>
                <w:spacing w:val="-11"/>
              </w:rPr>
              <w:t xml:space="preserve"> </w:t>
            </w:r>
            <w:r>
              <w:rPr>
                <w:i/>
              </w:rPr>
              <w:t>any</w:t>
            </w:r>
            <w:r>
              <w:rPr>
                <w:i/>
                <w:spacing w:val="-12"/>
              </w:rPr>
              <w:t xml:space="preserve"> </w:t>
            </w:r>
            <w:r>
              <w:rPr>
                <w:i/>
              </w:rPr>
              <w:t>copyright</w:t>
            </w:r>
            <w:r>
              <w:rPr>
                <w:i/>
                <w:spacing w:val="-12"/>
              </w:rPr>
              <w:t xml:space="preserve"> </w:t>
            </w:r>
            <w:r>
              <w:rPr>
                <w:i/>
              </w:rPr>
              <w:t>infringement</w:t>
            </w:r>
            <w:r>
              <w:rPr>
                <w:i/>
                <w:spacing w:val="-14"/>
              </w:rPr>
              <w:t xml:space="preserve"> </w:t>
            </w:r>
            <w:r>
              <w:rPr>
                <w:i/>
              </w:rPr>
              <w:t>that</w:t>
            </w:r>
            <w:r>
              <w:rPr>
                <w:i/>
                <w:spacing w:val="-14"/>
              </w:rPr>
              <w:t xml:space="preserve"> </w:t>
            </w:r>
            <w:r>
              <w:rPr>
                <w:i/>
              </w:rPr>
              <w:t>may</w:t>
            </w:r>
            <w:r>
              <w:rPr>
                <w:i/>
                <w:spacing w:val="-13"/>
              </w:rPr>
              <w:t xml:space="preserve"> </w:t>
            </w:r>
            <w:r>
              <w:rPr>
                <w:i/>
              </w:rPr>
              <w:t>occur</w:t>
            </w:r>
            <w:r>
              <w:rPr>
                <w:i/>
                <w:spacing w:val="-12"/>
              </w:rPr>
              <w:t xml:space="preserve"> </w:t>
            </w:r>
            <w:r>
              <w:rPr>
                <w:i/>
              </w:rPr>
              <w:t>as</w:t>
            </w:r>
            <w:r>
              <w:rPr>
                <w:i/>
                <w:spacing w:val="-13"/>
              </w:rPr>
              <w:t xml:space="preserve"> </w:t>
            </w:r>
            <w:r>
              <w:rPr>
                <w:i/>
              </w:rPr>
              <w:t>a</w:t>
            </w:r>
            <w:r>
              <w:rPr>
                <w:i/>
                <w:spacing w:val="-13"/>
              </w:rPr>
              <w:t xml:space="preserve"> </w:t>
            </w:r>
            <w:r>
              <w:rPr>
                <w:i/>
              </w:rPr>
              <w:t>result</w:t>
            </w:r>
          </w:p>
          <w:p w14:paraId="015F2035">
            <w:pPr>
              <w:pStyle w:val="11"/>
              <w:spacing w:before="0" w:line="230" w:lineRule="exact"/>
              <w:jc w:val="both"/>
              <w:rPr>
                <w:i/>
              </w:rPr>
            </w:pPr>
            <w:r>
              <w:rPr>
                <w:i/>
              </w:rPr>
              <w:t>of this submission.</w:t>
            </w:r>
          </w:p>
        </w:tc>
      </w:tr>
    </w:tbl>
    <w:p w14:paraId="2EE65BE7"/>
    <w:p w14:paraId="72A5B069"/>
    <w:p w14:paraId="2BA8EB57"/>
    <w:p w14:paraId="07CEAD8A"/>
    <w:p w14:paraId="4997E619"/>
    <w:p w14:paraId="1CC59B95"/>
    <w:p w14:paraId="06820D3C"/>
    <w:p w14:paraId="11C78DB4"/>
    <w:p w14:paraId="65133A3E"/>
    <w:p w14:paraId="281AD0D4"/>
    <w:p w14:paraId="798E246A"/>
    <w:p w14:paraId="1C36F3B6"/>
    <w:p w14:paraId="3C8630DE">
      <w:pPr>
        <w:keepNext w:val="0"/>
        <w:keepLines w:val="0"/>
        <w:pageBreakBefore w:val="0"/>
        <w:kinsoku/>
        <w:wordWrap/>
        <w:overflowPunct/>
        <w:topLinePunct w:val="0"/>
        <w:autoSpaceDE w:val="0"/>
        <w:autoSpaceDN w:val="0"/>
        <w:bidi w:val="0"/>
        <w:adjustRightInd/>
        <w:snapToGrid/>
        <w:spacing w:line="360" w:lineRule="auto"/>
        <w:textAlignment w:val="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Analysis of Green Advertising Strategies for International Sports Brands</w:t>
      </w:r>
    </w:p>
    <w:p w14:paraId="4C56E5C0">
      <w:pPr>
        <w:keepNext w:val="0"/>
        <w:keepLines w:val="0"/>
        <w:pageBreakBefore w:val="0"/>
        <w:kinsoku/>
        <w:wordWrap/>
        <w:overflowPunct/>
        <w:topLinePunct w:val="0"/>
        <w:autoSpaceDE w:val="0"/>
        <w:autoSpaceDN w:val="0"/>
        <w:bidi w:val="0"/>
        <w:adjustRightInd/>
        <w:snapToGrid/>
        <w:spacing w:line="360" w:lineRule="auto"/>
        <w:textAlignment w:val="auto"/>
        <w:rPr>
          <w:rFonts w:hint="default" w:ascii="Times New Roman Bold" w:hAnsi="Times New Roman Bold" w:cs="Times New Roman Bold"/>
          <w:b/>
          <w:bCs/>
          <w:sz w:val="24"/>
          <w:szCs w:val="24"/>
        </w:rPr>
      </w:pPr>
    </w:p>
    <w:p w14:paraId="4C2B9068">
      <w:pPr>
        <w:keepNext w:val="0"/>
        <w:keepLines w:val="0"/>
        <w:pageBreakBefore w:val="0"/>
        <w:kinsoku/>
        <w:wordWrap/>
        <w:overflowPunct/>
        <w:topLinePunct w:val="0"/>
        <w:autoSpaceDE w:val="0"/>
        <w:autoSpaceDN w:val="0"/>
        <w:bidi w:val="0"/>
        <w:adjustRightInd/>
        <w:snapToGrid/>
        <w:spacing w:line="360" w:lineRule="auto"/>
        <w:textAlignment w:val="auto"/>
        <w:rPr>
          <w:rFonts w:hint="default" w:ascii="Times New Roman Bold" w:hAnsi="Times New Roman Bold" w:eastAsia="宋体" w:cs="Times New Roman Bold"/>
          <w:b/>
          <w:bCs/>
          <w:sz w:val="24"/>
          <w:szCs w:val="24"/>
          <w:lang w:val="en-US" w:eastAsia="zh-CN"/>
        </w:rPr>
      </w:pPr>
      <w:r>
        <w:rPr>
          <w:rFonts w:hint="default" w:ascii="Times New Roman Bold" w:hAnsi="Times New Roman Bold" w:eastAsia="宋体" w:cs="Times New Roman Bold"/>
          <w:b/>
          <w:bCs/>
          <w:sz w:val="24"/>
          <w:szCs w:val="24"/>
          <w:lang w:val="en-US" w:eastAsia="zh-CN"/>
        </w:rPr>
        <w:t>Introduction</w:t>
      </w:r>
    </w:p>
    <w:p w14:paraId="7DA548DD">
      <w:pPr>
        <w:keepNext w:val="0"/>
        <w:keepLines w:val="0"/>
        <w:pageBreakBefore w:val="0"/>
        <w:kinsoku/>
        <w:wordWrap/>
        <w:overflowPunct/>
        <w:topLinePunct w:val="0"/>
        <w:autoSpaceDE w:val="0"/>
        <w:autoSpaceDN w:val="0"/>
        <w:bidi w:val="0"/>
        <w:adjustRightInd/>
        <w:snapToGrid/>
        <w:spacing w:line="360" w:lineRule="auto"/>
        <w:textAlignment w:val="auto"/>
        <w:rPr>
          <w:rFonts w:hint="default" w:ascii="Times New Roman Bold" w:hAnsi="Times New Roman Bold" w:eastAsia="宋体" w:cs="Times New Roman Bold"/>
          <w:b/>
          <w:bCs/>
          <w:sz w:val="24"/>
          <w:szCs w:val="24"/>
          <w:lang w:val="en-US" w:eastAsia="zh-CN"/>
        </w:rPr>
      </w:pPr>
    </w:p>
    <w:p w14:paraId="0A3C2D0D">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eastAsia"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Against the background of the global environmental crisis and the "dual carbon" goal, environmental value has become one of the core narratives of global brands, and many international brands are gradually incorporating environmental responsibility into their overall communication strategies. Especially large multinational sports brands such as Nike, Adidas, Patagonia, etc., these brands often emphasize the concept of environmental protection in their brand narrative and advertising. They will export the "green value" of their brands from multiple dimensions such as material recycling, carbon emission reduction and ecological protection. Under this trend, more and more brands have begun to use green advertising to express their commitment to the environment, shape the brand image, and establish emotional ties with consumers. From the perspective of visual effects in advertising, compared with traditional advertising, green advertising emphasizes the use of visual resources such as color, natural symbols, and compositional metaphors to convey meanings such as "environmental protection," "ecological friendliness," and "sense of responsibility" (Hartmann&amp;Apaolaza Ib áñ ez, 2009). At the same time, "greenwashing" has become a key issue of great concern, prompting researchers to focus on the consistency of the visual narrative of the advertisement and the actual action of the brand. (Delmas&amp;Burbano, 2011). By studying literature related to green advertising, visual semiotics and cross-cultural branding, we can have a deeper understanding of how international sports brands build environmental value. Based on existing research, this article will explore how these brands construct and convey environmental value through visual strategies.</w:t>
      </w:r>
    </w:p>
    <w:p w14:paraId="61444239">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lang w:val="en-US" w:eastAsia="zh-CN"/>
        </w:rPr>
      </w:pPr>
    </w:p>
    <w:p w14:paraId="6DCB593B">
      <w:pPr>
        <w:keepNext w:val="0"/>
        <w:keepLines w:val="0"/>
        <w:pageBreakBefore w:val="0"/>
        <w:numPr>
          <w:ilvl w:val="0"/>
          <w:numId w:val="0"/>
        </w:numPr>
        <w:kinsoku/>
        <w:wordWrap/>
        <w:overflowPunct/>
        <w:topLinePunct w:val="0"/>
        <w:autoSpaceDE w:val="0"/>
        <w:autoSpaceDN w:val="0"/>
        <w:bidi w:val="0"/>
        <w:adjustRightInd/>
        <w:snapToGrid/>
        <w:spacing w:line="360" w:lineRule="auto"/>
        <w:textAlignment w:val="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The concept of green advertising</w:t>
      </w:r>
    </w:p>
    <w:p w14:paraId="033856D2">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7BF24CFC">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The academic origin of green advertising can be traced back to the 1970s, when the global environmental movement represented by the first Earth Day in 1970 prompted scholars to pay attention to the relationship between advertising and environmental issues. Later, Banerjee, Gulas, and Iyer (1995) proposed that green advertising is not only about displaying environmentally friendly products, but also about shaping the environmental image of the brand through language and visual strategies based on advertising content. In recent years, the research on green advertising has mainly focused on green attitude, brand credibility and green shuffle perception.</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Hartmann et al. (2005) pointed out that green advertising can enhance consumers' positive attitude towards the brand through emotional and functional appeal. The most popular themes in green advertising include green attitude, brand credibility, and perception of green reshuffling (Chen, 2010). Research shows that if consumers think that a brand's "environmental statement is greater than its behavior", their green trust will drop significantly, which in turn will affect brand attitude and willingness to buy (Chen&amp;Chang, 2013). </w:t>
      </w:r>
      <w:r>
        <w:rPr>
          <w:rFonts w:hint="default" w:ascii="Times New Roman Regular" w:hAnsi="Times New Roman Regular" w:cs="Times New Roman Regular"/>
          <w:sz w:val="24"/>
          <w:szCs w:val="24"/>
        </w:rPr>
        <w:t>Delmas and Burbano's (2011) framework suggests that companies may exaggerate their environmental commitments through misleading images or symbols, and visual natural elements are common strategies. Therefore, visual storytelling itself also needs to be critically examined to avoid mistaking the naturalness in advertisements for real environmental actions. Various studies have shown that the effectiveness of green communication depends not only on the information content, but also on visual presentation, symbol selection, and cultural background; For sports brands, whether visual design can simultaneously meet the dual needs of "environmental awareness" and "performance trust" will directly determine the dissemination effect of green advertising.</w:t>
      </w:r>
    </w:p>
    <w:p w14:paraId="7CA467C9">
      <w:pPr>
        <w:keepNext w:val="0"/>
        <w:keepLines w:val="0"/>
        <w:pageBreakBefore w:val="0"/>
        <w:kinsoku/>
        <w:wordWrap/>
        <w:overflowPunct/>
        <w:topLinePunct w:val="0"/>
        <w:autoSpaceDE w:val="0"/>
        <w:autoSpaceDN w:val="0"/>
        <w:bidi w:val="0"/>
        <w:adjustRightInd/>
        <w:snapToGrid/>
        <w:spacing w:line="360" w:lineRule="auto"/>
        <w:textAlignment w:val="auto"/>
        <w:rPr>
          <w:rFonts w:hint="default" w:ascii="Times New Roman Regular" w:hAnsi="Times New Roman Regular" w:cs="Times New Roman Regular"/>
          <w:sz w:val="24"/>
          <w:szCs w:val="24"/>
        </w:rPr>
      </w:pPr>
    </w:p>
    <w:p w14:paraId="7F9B1FE6">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textAlignment w:val="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Visual Communication and Semiotics Methods</w:t>
      </w:r>
    </w:p>
    <w:p w14:paraId="78CCB41F">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textAlignment w:val="auto"/>
        <w:rPr>
          <w:rFonts w:hint="default" w:ascii="Times New Roman Regular" w:hAnsi="Times New Roman Regular" w:cs="Times New Roman Regular"/>
          <w:sz w:val="24"/>
          <w:szCs w:val="24"/>
        </w:rPr>
      </w:pPr>
    </w:p>
    <w:p w14:paraId="1E500857">
      <w:pPr>
        <w:keepNext w:val="0"/>
        <w:keepLines w:val="0"/>
        <w:pageBreakBefore w:val="0"/>
        <w:widowControl/>
        <w:suppressLineNumbers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rPr>
        <w:t xml:space="preserve">Semiotics and multimodal theory provide key analytical tools for a deeper understanding of how sports brands construct green meaning through visual design. Semiotics theory provides a core analytical tool for interpreting the meaning construction of visual elements in green advertising, and three scholars have laid its theoretical foundation. Ferdinand de Saussure proposed the signifier signified binary structure, which holds that visual symbols (such as green leaves) are a combination of material form (signifier) and connotative meaning (signified, i.e. environmental protection) </w:t>
      </w:r>
      <w:r>
        <w:rPr>
          <w:rFonts w:hint="default" w:ascii="Times New Roman Regular" w:hAnsi="Times New Roman Regular" w:cs="Times New Roman Regular"/>
          <w:sz w:val="24"/>
          <w:szCs w:val="24"/>
          <w:highlight w:val="none"/>
          <w:lang w:val="en-US" w:eastAsia="zh-CN"/>
        </w:rPr>
        <w:t>(Saussure, 2011).</w:t>
      </w:r>
      <w:r>
        <w:rPr>
          <w:rFonts w:hint="default" w:ascii="Times New Roman Regular" w:hAnsi="Times New Roman Regular" w:cs="Times New Roman Regular"/>
          <w:sz w:val="24"/>
          <w:szCs w:val="24"/>
          <w:highlight w:val="none"/>
        </w:rPr>
        <w:t>Charles Sanders Peirce extended this framework to the triangular model</w:t>
      </w:r>
      <w:r>
        <w:rPr>
          <w:rFonts w:hint="default" w:ascii="Times New Roman Regular" w:hAnsi="Times New Roman Regular" w:cs="Times New Roman Regular"/>
          <w:sz w:val="24"/>
          <w:szCs w:val="24"/>
          <w:highlight w:val="none"/>
          <w:lang w:val="en-US"/>
        </w:rPr>
        <w:t xml:space="preserve"> </w:t>
      </w:r>
      <w:r>
        <w:rPr>
          <w:rFonts w:hint="default" w:ascii="Times New Roman Regular" w:hAnsi="Times New Roman Regular" w:cs="Times New Roman Regular"/>
          <w:sz w:val="24"/>
          <w:szCs w:val="24"/>
          <w:highlight w:val="none"/>
        </w:rPr>
        <w:t>(symbol carrier, object, explanatory item), emphasizing that the meaning of symbols depends on the audience's interpretation context - such as the circular arrow, which ordinary consumers may interpret as environmental protection, while industry insiders may interpret as cost savings</w:t>
      </w:r>
      <w:r>
        <w:rPr>
          <w:rFonts w:hint="default" w:ascii="Times New Roman Regular" w:hAnsi="Times New Roman Regular" w:cs="Times New Roman Regular"/>
          <w:sz w:val="24"/>
          <w:szCs w:val="24"/>
          <w:highlight w:val="none"/>
          <w:lang w:val="en-US"/>
        </w:rPr>
        <w:t xml:space="preserve"> </w:t>
      </w:r>
      <w:r>
        <w:rPr>
          <w:rFonts w:hint="default" w:ascii="Times New Roman Regular" w:hAnsi="Times New Roman Regular" w:cs="Times New Roman Regular"/>
          <w:sz w:val="24"/>
          <w:szCs w:val="24"/>
          <w:highlight w:val="none"/>
          <w:lang w:val="en-US" w:eastAsia="zh-CN"/>
        </w:rPr>
        <w:t xml:space="preserve">(Peirce, 1998). </w:t>
      </w:r>
      <w:r>
        <w:rPr>
          <w:rFonts w:hint="default" w:ascii="Times New Roman Regular" w:hAnsi="Times New Roman Regular" w:cs="Times New Roman Regular"/>
          <w:sz w:val="24"/>
          <w:szCs w:val="24"/>
          <w:highlight w:val="none"/>
        </w:rPr>
        <w:t>Roland Barthes further proposed the myth theory,</w:t>
      </w:r>
      <w:r>
        <w:rPr>
          <w:rFonts w:hint="default" w:ascii="Times New Roman Regular" w:hAnsi="Times New Roman Regular" w:cs="Times New Roman Regular"/>
          <w:sz w:val="24"/>
          <w:szCs w:val="24"/>
          <w:highlight w:val="none"/>
          <w:lang w:val="en-US"/>
        </w:rPr>
        <w:t xml:space="preserve"> </w:t>
      </w:r>
      <w:r>
        <w:rPr>
          <w:rFonts w:hint="default" w:ascii="Times New Roman Regular" w:hAnsi="Times New Roman Regular" w:cs="Times New Roman Regular"/>
          <w:sz w:val="24"/>
          <w:szCs w:val="24"/>
          <w:highlight w:val="none"/>
        </w:rPr>
        <w:t>which suggests that visual symbols in advertisements are imbued with cultural myths - for example, the combination of white clouds+blue sky in green advertisements not only represents natural landscapes, but also constructs myths of a pure and pollution-free lifestyle</w:t>
      </w:r>
      <w:r>
        <w:rPr>
          <w:rFonts w:hint="default" w:ascii="Times New Roman Regular" w:hAnsi="Times New Roman Regular" w:cs="Times New Roman Regular"/>
          <w:sz w:val="24"/>
          <w:szCs w:val="24"/>
          <w:highlight w:val="none"/>
          <w:lang w:val="en-US"/>
        </w:rPr>
        <w:t xml:space="preserve"> </w:t>
      </w:r>
      <w:r>
        <w:rPr>
          <w:rFonts w:hint="default" w:ascii="Times New Roman Regular" w:hAnsi="Times New Roman Regular" w:cs="Times New Roman Regular"/>
          <w:sz w:val="24"/>
          <w:szCs w:val="24"/>
          <w:highlight w:val="none"/>
        </w:rPr>
        <w:t>(Barthes, 1972).</w:t>
      </w:r>
    </w:p>
    <w:p w14:paraId="283290CC">
      <w:pPr>
        <w:keepNext w:val="0"/>
        <w:keepLines w:val="0"/>
        <w:pageBreakBefore w:val="0"/>
        <w:widowControl/>
        <w:suppressLineNumbers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highlight w:val="none"/>
        </w:rPr>
      </w:pPr>
    </w:p>
    <w:p w14:paraId="482CFFFE">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Kress and van Leeuwen's (2006) multimodal visual grammar further incorporates dimensions such as material, composition, and perspective, making it more suitable for the visual characteristics of the "technology nature performance" multi-element fusion in green advertising for sports brands. This framework states that green advertising constructs environmental meaning through the combination of visual resources, and sports brands further achieve a dual encoding of "environmental meaning" and "performance meaning" on this basis: green and blue symbolize nature and tranquility, the rough texture of recycled materials implies recycling and waste reduction, and the juxtaposition of technological elements and natural imagery forms the "future environmentalism" visual style commonly used by brands such as Nike. Existing research has found that luxury brands often construct "high-end environmental protection" (Joy et al., 2012), while fast fashion is often criticized as a green shuffle due to excessive use of natural symbols (Parguel</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Benoit Moreau</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&amp;</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Larceneux</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2011). However, systematic research on how sports brands integrate visual symbols, environmental actions, and global narrative strategies in cross-cultural communication is still limited.</w:t>
      </w:r>
    </w:p>
    <w:p w14:paraId="532D5AA5">
      <w:pPr>
        <w:keepNext w:val="0"/>
        <w:keepLines w:val="0"/>
        <w:pageBreakBefore w:val="0"/>
        <w:kinsoku/>
        <w:wordWrap/>
        <w:overflowPunct/>
        <w:topLinePunct w:val="0"/>
        <w:autoSpaceDE w:val="0"/>
        <w:autoSpaceDN w:val="0"/>
        <w:bidi w:val="0"/>
        <w:adjustRightInd/>
        <w:snapToGrid/>
        <w:spacing w:line="360" w:lineRule="auto"/>
        <w:textAlignment w:val="auto"/>
        <w:rPr>
          <w:rFonts w:hint="default" w:ascii="Times New Roman Regular" w:hAnsi="Times New Roman Regular" w:cs="Times New Roman Regular"/>
          <w:sz w:val="24"/>
          <w:szCs w:val="24"/>
        </w:rPr>
      </w:pPr>
    </w:p>
    <w:p w14:paraId="5EEF12E4">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textAlignment w:val="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Global Brands and Cross Cultural Green Advertising</w:t>
      </w:r>
    </w:p>
    <w:p w14:paraId="4810F292">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textAlignment w:val="auto"/>
        <w:rPr>
          <w:rFonts w:hint="default" w:ascii="Times New Roman Regular" w:hAnsi="Times New Roman Regular" w:cs="Times New Roman Regular"/>
          <w:sz w:val="24"/>
          <w:szCs w:val="24"/>
        </w:rPr>
      </w:pPr>
    </w:p>
    <w:p w14:paraId="201FEEFF">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Global sports brands must face different cultural value systems when promoting environmental concepts, so cross-cultural communication and "glocalization" have become key topics in green advertising research. </w:t>
      </w:r>
      <w:r>
        <w:rPr>
          <w:rFonts w:hint="default" w:ascii="Times New Roman Regular" w:hAnsi="Times New Roman Regular" w:cs="Times New Roman Regular"/>
          <w:sz w:val="24"/>
          <w:szCs w:val="24"/>
          <w:lang w:val="en-US" w:eastAsia="zh-CN"/>
        </w:rPr>
        <w:t xml:space="preserve">According to Robertson (1995) and Kraidy (2005), global brands need to strike a balance between "global consistency" and "cultural fit". Specifically, sports brands often integrate local ecological symbols into their visual image, while maintaining a unified environmental protection position to adapt to local culture, such as Adidas's "End Plastic Waste" campaign. In addition, cultural value differences are also important factors affecting green advertising strategies. Societies with individualistic culture (such as the United States and Europe) usually emphasize individual responsibility and a green lifestyle, while societies with collectivist culture (such as East Asia) pay more attention to social responsibility, group obligations and environmental policies at the national level (Ng &amp; Nguyen, 2014). </w:t>
      </w:r>
      <w:r>
        <w:rPr>
          <w:rFonts w:hint="default" w:ascii="Times New Roman Regular" w:hAnsi="Times New Roman Regular" w:cs="Times New Roman Regular"/>
          <w:sz w:val="24"/>
          <w:szCs w:val="24"/>
        </w:rPr>
        <w:t>Therefore, global sports brands need to adjust the focus between "individual environmental protection action" and "collective environmental value" in the visual narrative when spreading in different cultural regions. Existing cases also reveal this cross-cultural regulatory mechanism: Nike's "Move to Zero" series adopts a unified circular symbol and recycled material texture globally, but further emphasizes community participation and group environmental actions in the Asian market; Although Adidas' "Parley for Oceans" project uses "ocean garbage recycling" as its core visual symbol, it will adjust its narrative focus according to local environmental issues. These examples demonstrate how multinational sports brands use visual strategies to regulate environmental issues and cultural meaning structures between the global and local levels.</w:t>
      </w:r>
    </w:p>
    <w:p w14:paraId="1B42B6C0">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7A2825FC">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From the perspective of consumer research, the effectiveness of visual green strategies depends on consumers' judgment of the authenticity of brand environmental actions. Chen (2010) pointed out that "green trust" is the key to the influence of green advertising on purchase intention. If green vision lacks real action support, it will be difficult to establish lasting trust. Matt</w:t>
      </w:r>
      <w:r>
        <w:rPr>
          <w:rFonts w:hint="default" w:ascii="Times New Roman Regular" w:hAnsi="Times New Roman Regular" w:cs="Times New Roman Regular"/>
          <w:sz w:val="24"/>
          <w:szCs w:val="24"/>
          <w:lang w:val="en-US"/>
        </w:rPr>
        <w:t>he</w:t>
      </w:r>
      <w:r>
        <w:rPr>
          <w:rFonts w:hint="default" w:ascii="Times New Roman Regular" w:hAnsi="Times New Roman Regular" w:cs="Times New Roman Regular"/>
          <w:sz w:val="24"/>
          <w:szCs w:val="24"/>
        </w:rPr>
        <w:t>s</w:t>
      </w:r>
      <w:r>
        <w:rPr>
          <w:rFonts w:hint="default" w:ascii="Times New Roman Regular" w:hAnsi="Times New Roman Regular" w:cs="Times New Roman Regular"/>
          <w:sz w:val="24"/>
          <w:szCs w:val="24"/>
          <w:lang w:val="en-US"/>
        </w:rPr>
        <w:t xml:space="preserve"> &amp; Wonneberger</w:t>
      </w:r>
      <w:r>
        <w:rPr>
          <w:rFonts w:hint="default" w:ascii="Times New Roman Regular" w:hAnsi="Times New Roman Regular" w:cs="Times New Roman Regular"/>
          <w:sz w:val="24"/>
          <w:szCs w:val="24"/>
        </w:rPr>
        <w:t xml:space="preserve"> (2014) also found that when consumers have doubts about a brand's environmental statement, even if its visual design is very aesthetic, there will be resistance. Kim and Chung's (2011) cross-cultural research further emphasizes that in cultural environments with high environmental awareness, disclosing a brand's actual environmental actions can significantly enhance the effectiveness of green visual communication. Therefore, although visual storytelling is important, consumers ultimately rely on the transparency and authenticity of brand actions to judge the credibility of green advertising.</w:t>
      </w:r>
    </w:p>
    <w:p w14:paraId="6FEFD293">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textAlignment w:val="auto"/>
        <w:rPr>
          <w:rFonts w:hint="default" w:ascii="Times New Roman Regular" w:hAnsi="Times New Roman Regular" w:cs="Times New Roman Regular"/>
          <w:sz w:val="24"/>
          <w:szCs w:val="24"/>
        </w:rPr>
      </w:pPr>
    </w:p>
    <w:p w14:paraId="0DC06A3C">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textAlignment w:val="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The rationales of</w:t>
      </w:r>
      <w:r>
        <w:rPr>
          <w:rFonts w:hint="default" w:ascii="Times New Roman Bold" w:hAnsi="Times New Roman Bold" w:cs="Times New Roman Bold"/>
          <w:b/>
          <w:bCs/>
          <w:sz w:val="24"/>
          <w:szCs w:val="24"/>
        </w:rPr>
        <w:t xml:space="preserve"> sports brands rel</w:t>
      </w:r>
      <w:r>
        <w:rPr>
          <w:rFonts w:hint="default" w:ascii="Times New Roman Bold" w:hAnsi="Times New Roman Bold" w:cs="Times New Roman Bold"/>
          <w:b/>
          <w:bCs/>
          <w:sz w:val="24"/>
          <w:szCs w:val="24"/>
          <w:lang w:val="en-US"/>
        </w:rPr>
        <w:t>iance</w:t>
      </w:r>
      <w:r>
        <w:rPr>
          <w:rFonts w:hint="default" w:ascii="Times New Roman Bold" w:hAnsi="Times New Roman Bold" w:cs="Times New Roman Bold"/>
          <w:b/>
          <w:bCs/>
          <w:sz w:val="24"/>
          <w:szCs w:val="24"/>
        </w:rPr>
        <w:t xml:space="preserve"> on visual green communication</w:t>
      </w:r>
    </w:p>
    <w:p w14:paraId="2E54FF24">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textAlignment w:val="auto"/>
        <w:rPr>
          <w:rFonts w:hint="default" w:ascii="Times New Roman Regular" w:hAnsi="Times New Roman Regular" w:cs="Times New Roman Regular"/>
          <w:sz w:val="24"/>
          <w:szCs w:val="24"/>
        </w:rPr>
      </w:pPr>
    </w:p>
    <w:p w14:paraId="1DB15D22">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Based on semiotics and cross-cultural communication discussions, recent academic research further emphasizes that sports brands rely on visual green communication due to structural and industrial reasons.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Due to the unique cultural and material characteristics of the sports industry, sports brands rely more extensively on visual green narratives than many other product categories. Scholars have pointed out that sports brands are closely related to the symbolic meanings of nature, physical performance, and outdoor environment, which makes environmental responsibility a natural extension of brand identity (Andrews, 2019). At the same time, sports shoes and clothing heavily rely on synthetic fibers, energy intensive production, and global supply chains; Life cycle assessment studies have shown that the majority of the carbon footprint of running shoes comes from material production and long-distance logistics (Wiedemann et al., 2020). The key issue with sports brands is that they always mention environmental issues in their advertisements, but in actual production, they may have environmental impacts. This gap makes them eager to reverse people's perception of their environmental credibility through visual means.Recent research has also shown that a sustainable development image is a compensation mechanism that helps brands maintain their reputation when both functional performance and ecological responsibility must be conveyed simultaneously (Niinimäki</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&amp;</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Hassi, 2011). Therefore, the sports industry provides a unique context in which green visual communication is not only aesthetic, but also a core tool for negotiating the tense relationship between brand responsibility, product performance, and consumer expectations.</w:t>
      </w:r>
    </w:p>
    <w:p w14:paraId="7E3C88B6">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33BBBDCF">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textAlignment w:val="auto"/>
        <w:rPr>
          <w:rStyle w:val="8"/>
          <w:rFonts w:hint="default" w:eastAsia="宋体" w:cs="Times New Roman" w:asciiTheme="majorAscii" w:hAnsiTheme="majorAscii"/>
          <w:b w:val="0"/>
          <w:bCs w:val="0"/>
          <w:kern w:val="0"/>
          <w:sz w:val="28"/>
          <w:szCs w:val="28"/>
          <w:highlight w:val="none"/>
          <w:lang w:val="en-US" w:eastAsia="zh-CN" w:bidi="ar"/>
        </w:rPr>
      </w:pPr>
      <w:r>
        <w:rPr>
          <w:rFonts w:hint="eastAsia" w:ascii="Times New Roman Bold" w:hAnsi="Times New Roman Bold" w:cs="Times New Roman Bold"/>
          <w:b/>
          <w:bCs/>
          <w:sz w:val="24"/>
          <w:szCs w:val="24"/>
          <w:lang w:val="en-US" w:eastAsia="zh-CN"/>
        </w:rPr>
        <w:t>Research Gaps and Future Directions</w:t>
      </w:r>
    </w:p>
    <w:p w14:paraId="10CE48A8">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360" w:lineRule="auto"/>
        <w:ind w:left="0" w:right="0"/>
        <w:jc w:val="both"/>
        <w:textAlignment w:val="auto"/>
        <w:rPr>
          <w:rFonts w:hint="default" w:ascii="Calibri" w:hAnsi="Calibri" w:eastAsia="宋体" w:cs="Times New Roman"/>
          <w:kern w:val="2"/>
          <w:sz w:val="21"/>
          <w:szCs w:val="21"/>
        </w:rPr>
      </w:pPr>
    </w:p>
    <w:p w14:paraId="22C1D86E">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In a word, there are still some obvious limitations in the current research on green advertising of sports brands. First of all, although many studies focus on green information and its impact on consumers' attitudes, the visual dimension of green advertising still lacks enough attention. In the existing research, there has been little systematic discussion on how visual symbols, cultural backgrounds and brand practices interact to construct environmental significance (Parguel et al., 2011; Joy et al., 2012).This gap limits our understanding of how</w:t>
      </w:r>
      <w:r>
        <w:rPr>
          <w:rFonts w:hint="eastAsia" w:ascii="Times New Roman Regular" w:hAnsi="Times New Roman Regular" w:cs="Times New Roman Regular"/>
          <w:sz w:val="24"/>
          <w:szCs w:val="24"/>
          <w:lang w:val="en-US" w:eastAsia="zh-CN"/>
        </w:rPr>
        <w:t>“</w:t>
      </w:r>
      <w:r>
        <w:rPr>
          <w:rFonts w:hint="default" w:ascii="Times New Roman Regular" w:hAnsi="Times New Roman Regular" w:cs="Times New Roman Regular"/>
          <w:sz w:val="24"/>
          <w:szCs w:val="24"/>
          <w:lang w:val="en-US" w:eastAsia="zh-CN"/>
        </w:rPr>
        <w:t>green meaning” is actually produced and interpreted in visual media. Secondly, cross-cultural research is still in the primary stage.</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Although</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sports brands operate in different regional markets, there is almost no literature that can explain the reinterpretation or exploration process of global visual strategies in different cultural environments (Kim&amp;Chung, 2011). This lack of comparative evidence makes it difficult to assess whether green narratives travel consistently across markets. Thirdly, the methods are narrow. Most studies rely on quantitative content analysis (ignoring deeper symbolic meanings) or qualitative case studies (lacking experiential breadth). At present, there is still a lack of hybrid method design that combines visual analysis and audience interpretation, which makes it difficult to accurately grasp consumers' true understanding of green visual narrative. Future research can further solve the above shortcomings through cross-cultural multimodal analysis and deepen the understanding of the green communication mechanism of sports brands.</w:t>
      </w:r>
    </w:p>
    <w:p w14:paraId="1D123915">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029BA9AB">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115E7BE3">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1799617A">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13F75D06">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045C60DC">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6760A11E">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4251DC3E">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083FA6DC">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3BCC3CB3">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0227EB95">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2CCB8B96">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6F67F6E6">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56D94C2C">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7548D0A6">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07DDF5E5">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3AE7A12D">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26D23258">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7A838FD2">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18057682">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43E91A8A">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755CEF64">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735EE820">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4A1AA225">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24E133E3">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1C1D523E">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65D7A46D">
      <w:pPr>
        <w:keepNext w:val="0"/>
        <w:keepLines w:val="0"/>
        <w:pageBreakBefore w:val="0"/>
        <w:kinsoku/>
        <w:wordWrap/>
        <w:overflowPunct/>
        <w:topLinePunct w:val="0"/>
        <w:autoSpaceDE w:val="0"/>
        <w:autoSpaceDN w:val="0"/>
        <w:bidi w:val="0"/>
        <w:adjustRightInd/>
        <w:snapToGrid/>
        <w:spacing w:line="360" w:lineRule="auto"/>
        <w:jc w:val="both"/>
        <w:textAlignment w:val="auto"/>
        <w:rPr>
          <w:rFonts w:hint="default" w:ascii="Times New Roman Regular" w:hAnsi="Times New Roman Regular" w:cs="Times New Roman Regular"/>
          <w:sz w:val="24"/>
          <w:szCs w:val="24"/>
        </w:rPr>
      </w:pPr>
    </w:p>
    <w:p w14:paraId="75A809BB">
      <w:pPr>
        <w:keepNext w:val="0"/>
        <w:keepLines w:val="0"/>
        <w:pageBreakBefore w:val="0"/>
        <w:kinsoku/>
        <w:wordWrap/>
        <w:overflowPunct/>
        <w:topLinePunct w:val="0"/>
        <w:autoSpaceDE w:val="0"/>
        <w:autoSpaceDN w:val="0"/>
        <w:bidi w:val="0"/>
        <w:adjustRightInd/>
        <w:snapToGrid/>
        <w:spacing w:line="360" w:lineRule="auto"/>
        <w:textAlignment w:val="auto"/>
        <w:rPr>
          <w:rFonts w:hint="default" w:ascii="Times New Roman Bold" w:hAnsi="Times New Roman Bold" w:cs="Times New Roman Bold"/>
          <w:b/>
          <w:bCs/>
          <w:lang w:val="en-US"/>
        </w:rPr>
      </w:pPr>
      <w:r>
        <w:rPr>
          <w:rFonts w:hint="default" w:ascii="Times New Roman Bold" w:hAnsi="Times New Roman Bold" w:cs="Times New Roman Bold"/>
          <w:b/>
          <w:bCs/>
          <w:lang w:val="en-US"/>
        </w:rPr>
        <w:t>Word count 17</w:t>
      </w:r>
      <w:r>
        <w:rPr>
          <w:rFonts w:hint="default" w:ascii="Times New Roman Bold" w:hAnsi="Times New Roman Bold" w:eastAsia="宋体" w:cs="Times New Roman Bold"/>
          <w:b/>
          <w:bCs/>
          <w:lang w:val="en-US" w:eastAsia="zh-CN"/>
        </w:rPr>
        <w:t>70</w:t>
      </w:r>
    </w:p>
    <w:p w14:paraId="24BB236C">
      <w:pPr>
        <w:keepNext w:val="0"/>
        <w:keepLines w:val="0"/>
        <w:pageBreakBefore w:val="0"/>
        <w:kinsoku/>
        <w:wordWrap/>
        <w:overflowPunct/>
        <w:topLinePunct w:val="0"/>
        <w:autoSpaceDE w:val="0"/>
        <w:autoSpaceDN w:val="0"/>
        <w:bidi w:val="0"/>
        <w:adjustRightInd/>
        <w:snapToGrid/>
        <w:spacing w:line="360" w:lineRule="auto"/>
        <w:textAlignment w:val="auto"/>
        <w:rPr>
          <w:rFonts w:hint="eastAsia" w:ascii="Times New Roman Bold" w:hAnsi="Times New Roman Bold" w:eastAsia="宋体" w:cs="Times New Roman Bold"/>
          <w:b/>
          <w:bCs/>
          <w:lang w:val="en-US" w:eastAsia="zh-CN"/>
        </w:rPr>
      </w:pPr>
      <w:r>
        <w:rPr>
          <w:rFonts w:hint="eastAsia" w:ascii="Times New Roman Bold" w:hAnsi="Times New Roman Bold" w:eastAsia="宋体" w:cs="Times New Roman Bold"/>
          <w:b/>
          <w:bCs/>
          <w:lang w:val="en-US" w:eastAsia="zh-CN"/>
        </w:rPr>
        <w:t>Reference</w:t>
      </w:r>
    </w:p>
    <w:p w14:paraId="2C150858">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Andrews, D. L. (2019). </w:t>
      </w:r>
      <w:r>
        <w:rPr>
          <w:rStyle w:val="8"/>
        </w:rPr>
        <w:t>Making sport sustainable: The cultural politics of sport and environmentalism</w:t>
      </w:r>
      <w:r>
        <w:t>. Routledge.</w:t>
      </w:r>
    </w:p>
    <w:p w14:paraId="7DF5145E">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Banerjee, S. B., Gulas, C. S., &amp; Iyer, E. (1995). Shades of green: A multidimensional analysis of environmental advertising. </w:t>
      </w:r>
      <w:r>
        <w:rPr>
          <w:rStyle w:val="8"/>
        </w:rPr>
        <w:t>Journal of Advertising</w:t>
      </w:r>
      <w:r>
        <w:t>, 24(2), 21–31.</w:t>
      </w:r>
    </w:p>
    <w:p w14:paraId="0EBA43CC">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Barthes, R. (1972). </w:t>
      </w:r>
      <w:r>
        <w:rPr>
          <w:rStyle w:val="8"/>
        </w:rPr>
        <w:t>Mythologies</w:t>
      </w:r>
      <w:r>
        <w:t xml:space="preserve"> (A. Lavers, Trans.). Hill and Wang. (Original work published 1957)</w:t>
      </w:r>
    </w:p>
    <w:p w14:paraId="45C2BBA5">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Chen, Y.-S. (2010). The drivers of green brand equity: Green brand image, green satisfaction, and green trust. </w:t>
      </w:r>
      <w:r>
        <w:rPr>
          <w:rStyle w:val="8"/>
        </w:rPr>
        <w:t>Journal of Business Ethics</w:t>
      </w:r>
      <w:r>
        <w:t>, 93(2), 307–319.</w:t>
      </w:r>
    </w:p>
    <w:p w14:paraId="264F3C3C">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Chen, Y.-S., &amp; Chang, C.-H. (2013). Greenwash and green trust: The mediation effects of green </w:t>
      </w:r>
      <w:bookmarkStart w:id="0" w:name="_GoBack"/>
      <w:bookmarkEnd w:id="0"/>
      <w:r>
        <w:t xml:space="preserve">consumer confusion and green perceived risk. </w:t>
      </w:r>
      <w:r>
        <w:rPr>
          <w:rStyle w:val="8"/>
        </w:rPr>
        <w:t>Journal of Business Ethics</w:t>
      </w:r>
      <w:r>
        <w:t>, 114(3), 489–500.</w:t>
      </w:r>
    </w:p>
    <w:p w14:paraId="63868179">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Delmas, M. A., &amp; Burbano, V. C. (2011). The drivers of greenwashing. </w:t>
      </w:r>
      <w:r>
        <w:rPr>
          <w:rStyle w:val="8"/>
        </w:rPr>
        <w:t>California Management Review</w:t>
      </w:r>
      <w:r>
        <w:t>, 54(1), 64–87.</w:t>
      </w:r>
    </w:p>
    <w:p w14:paraId="4AF9EDE3">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Hartmann, P., &amp; Apaolaza-Ibáñez, V. (2009). Green advertising revisited: Conditioning virtual nature experiences. </w:t>
      </w:r>
      <w:r>
        <w:rPr>
          <w:rStyle w:val="8"/>
        </w:rPr>
        <w:t>Psychology &amp; Marketing</w:t>
      </w:r>
      <w:r>
        <w:t>, 26(7), 623–657.</w:t>
      </w:r>
    </w:p>
    <w:p w14:paraId="54E0460A">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Hartmann, P., Apaolaza-Ibáñez, V., &amp; Forcada Sainz, F. J. (2005). Green branding effects on attitude: Functional versus emotional positioning strategies. </w:t>
      </w:r>
      <w:r>
        <w:rPr>
          <w:rStyle w:val="8"/>
        </w:rPr>
        <w:t>Marketing Intelligence &amp; Planning</w:t>
      </w:r>
      <w:r>
        <w:t>, 23(1), 9–29.</w:t>
      </w:r>
    </w:p>
    <w:p w14:paraId="0527C273">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Joy, A., Sherry, J. F., Venkatesh, A., Wang, J., &amp; Chan, R. (2012). Fast fashion, sustainability, and the ethical appeal of luxury brands. </w:t>
      </w:r>
      <w:r>
        <w:rPr>
          <w:rStyle w:val="8"/>
        </w:rPr>
        <w:t>Fashion Theory</w:t>
      </w:r>
      <w:r>
        <w:t>, 16(3), 273–295.</w:t>
      </w:r>
    </w:p>
    <w:p w14:paraId="042506B1">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Kim, H., &amp; Chung, J.-E. (2011). Consumer purchase intention for organic personal care products. </w:t>
      </w:r>
      <w:r>
        <w:rPr>
          <w:rStyle w:val="8"/>
        </w:rPr>
        <w:t>Journal of Consumer Marketing</w:t>
      </w:r>
      <w:r>
        <w:t>, 28(1), 40–47.</w:t>
      </w:r>
    </w:p>
    <w:p w14:paraId="53BA7481">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Kress, G., &amp; van Leeuwen, T. (2006). </w:t>
      </w:r>
      <w:r>
        <w:rPr>
          <w:rStyle w:val="8"/>
        </w:rPr>
        <w:t>Reading images: The grammar of visual design</w:t>
      </w:r>
      <w:r>
        <w:t xml:space="preserve"> (2nd ed.). Routledge.</w:t>
      </w:r>
    </w:p>
    <w:p w14:paraId="615A5651">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Matthes, J., &amp; Wonneberger, A. (2014). The skeptical green consumer reconsidered: Testing the relationship between green consumerism and skepticism toward advertising. </w:t>
      </w:r>
      <w:r>
        <w:rPr>
          <w:rStyle w:val="8"/>
        </w:rPr>
        <w:t>Journal of Advertising</w:t>
      </w:r>
      <w:r>
        <w:t>, 43(2), 115–127.</w:t>
      </w:r>
    </w:p>
    <w:p w14:paraId="6ACE4AD7">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Ng, A. W., &amp; Nguyen, N. (2014). Sustainable development and cultural values in Asia. </w:t>
      </w:r>
      <w:r>
        <w:rPr>
          <w:rStyle w:val="8"/>
        </w:rPr>
        <w:t>International Journal of Sustainability</w:t>
      </w:r>
      <w:r>
        <w:t>, 2(1), 15–27.</w:t>
      </w:r>
    </w:p>
    <w:p w14:paraId="42F779D8">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Niinimäki, K., &amp; Hassi, L. (2011). Emerging design strategies in sustainable production and consumption of textiles and clothing. </w:t>
      </w:r>
      <w:r>
        <w:rPr>
          <w:rStyle w:val="8"/>
        </w:rPr>
        <w:t>Journal of Cleaner Production</w:t>
      </w:r>
      <w:r>
        <w:t>, 19(16), 1876–1883.</w:t>
      </w:r>
    </w:p>
    <w:p w14:paraId="573E0900">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Parguel, B., Benoit-Moreau, F., &amp; Larceneux, F. (2011). How sustainability ratings might deter “greenwashing.” </w:t>
      </w:r>
      <w:r>
        <w:rPr>
          <w:rStyle w:val="8"/>
        </w:rPr>
        <w:t>Journal of Business Ethics</w:t>
      </w:r>
      <w:r>
        <w:t>, 102(1), 15–28.</w:t>
      </w:r>
    </w:p>
    <w:p w14:paraId="10A58C37">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Peirce, C. S. (1998). </w:t>
      </w:r>
      <w:r>
        <w:rPr>
          <w:rStyle w:val="8"/>
        </w:rPr>
        <w:t>The essential Peirce: Selected philosophical writings</w:t>
      </w:r>
      <w:r>
        <w:t xml:space="preserve"> (Vol. 2). Indiana University Press.</w:t>
      </w:r>
    </w:p>
    <w:p w14:paraId="734CA871">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Robertson, R. (1995). Glocalization: Time-space and homogeneity-heterogeneity. In M. Featherstone, S. Lash, &amp; R. Robertson (Eds.), </w:t>
      </w:r>
      <w:r>
        <w:rPr>
          <w:rStyle w:val="8"/>
        </w:rPr>
        <w:t>Global modernities</w:t>
      </w:r>
      <w:r>
        <w:t xml:space="preserve"> (pp. 25–44). Sage.</w:t>
      </w:r>
    </w:p>
    <w:p w14:paraId="44B458CD">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Saussure, F. de. (2011). </w:t>
      </w:r>
      <w:r>
        <w:rPr>
          <w:rStyle w:val="8"/>
        </w:rPr>
        <w:t>Course in general linguistics</w:t>
      </w:r>
      <w:r>
        <w:t xml:space="preserve"> (W. Baskin, Trans.). Columbia University Press.</w:t>
      </w:r>
    </w:p>
    <w:p w14:paraId="42225C82">
      <w:pPr>
        <w:pStyle w:val="4"/>
        <w:keepNext w:val="0"/>
        <w:keepLines w:val="0"/>
        <w:pageBreakBefore w:val="0"/>
        <w:widowControl/>
        <w:suppressLineNumbers w:val="0"/>
        <w:kinsoku/>
        <w:wordWrap/>
        <w:overflowPunct/>
        <w:topLinePunct w:val="0"/>
        <w:autoSpaceDE w:val="0"/>
        <w:autoSpaceDN w:val="0"/>
        <w:bidi w:val="0"/>
        <w:adjustRightInd/>
        <w:snapToGrid/>
        <w:ind w:left="480" w:hanging="480" w:hangingChars="200"/>
        <w:textAlignment w:val="auto"/>
      </w:pPr>
      <w:r>
        <w:t xml:space="preserve">Wiedemann, S. G., McGahan, E. J., Murphy, C. M., &amp; Yan, M.-J. (2020). Life cycle assessment of footwear materials. </w:t>
      </w:r>
      <w:r>
        <w:rPr>
          <w:rStyle w:val="8"/>
        </w:rPr>
        <w:t>Journal of Cleaner Production</w:t>
      </w:r>
      <w:r>
        <w:t>, 267, 1–10.</w:t>
      </w:r>
    </w:p>
    <w:p w14:paraId="360B61F9">
      <w:pPr>
        <w:keepNext w:val="0"/>
        <w:keepLines w:val="0"/>
        <w:pageBreakBefore w:val="0"/>
        <w:kinsoku/>
        <w:wordWrap/>
        <w:overflowPunct/>
        <w:topLinePunct w:val="0"/>
        <w:autoSpaceDE w:val="0"/>
        <w:autoSpaceDN w:val="0"/>
        <w:bidi w:val="0"/>
        <w:adjustRightInd/>
        <w:snapToGrid/>
        <w:spacing w:line="360" w:lineRule="auto"/>
        <w:textAlignment w:val="auto"/>
        <w:rPr>
          <w:rFonts w:hint="default" w:ascii="Times New Roman Bold" w:hAnsi="Times New Roman Bold" w:eastAsia="宋体" w:cs="Times New Roman Bold"/>
          <w:b w:val="0"/>
          <w:bCs w:val="0"/>
          <w:lang w:val="en-US" w:eastAsia="zh-C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egoe UI Symbol">
    <w:altName w:val="苹方-简"/>
    <w:panose1 w:val="020B0502040204020203"/>
    <w:charset w:val="00"/>
    <w:family w:val="swiss"/>
    <w:pitch w:val="default"/>
    <w:sig w:usb0="00000000" w:usb1="00000000" w:usb2="00040000" w:usb3="00000000" w:csb0="00000001" w:csb1="00000000"/>
  </w:font>
  <w:font w:name="MS Gothic">
    <w:altName w:val="Hiragino Sans"/>
    <w:panose1 w:val="020B0609070205080204"/>
    <w:charset w:val="80"/>
    <w:family w:val="modern"/>
    <w:pitch w:val="default"/>
    <w:sig w:usb0="00000000" w:usb1="00000000" w:usb2="08000012" w:usb3="00000000" w:csb0="000200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Calibri Light">
    <w:altName w:val="Helvetica Neue"/>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iragino Sans">
    <w:panose1 w:val="020B0300000000000000"/>
    <w:charset w:val="80"/>
    <w:family w:val="auto"/>
    <w:pitch w:val="default"/>
    <w:sig w:usb0="E00002FF" w:usb1="7AE7FFFF" w:usb2="00000012" w:usb3="00000000" w:csb0="0002000D"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951"/>
    <w:rsid w:val="000019A1"/>
    <w:rsid w:val="002E7698"/>
    <w:rsid w:val="00380A92"/>
    <w:rsid w:val="00562CDC"/>
    <w:rsid w:val="00597368"/>
    <w:rsid w:val="0094508F"/>
    <w:rsid w:val="00A44951"/>
    <w:rsid w:val="36EFBA3D"/>
    <w:rsid w:val="3DFDED6F"/>
    <w:rsid w:val="6FF3D93D"/>
    <w:rsid w:val="7D7998AF"/>
    <w:rsid w:val="7DEF754D"/>
    <w:rsid w:val="7FFD45E4"/>
    <w:rsid w:val="7FFDFCBB"/>
    <w:rsid w:val="7FFF8D79"/>
    <w:rsid w:val="BD3675E7"/>
    <w:rsid w:val="D3141158"/>
    <w:rsid w:val="DD9B1C92"/>
    <w:rsid w:val="DDF9EA71"/>
    <w:rsid w:val="DF241265"/>
    <w:rsid w:val="DF376E41"/>
    <w:rsid w:val="DFBFEB7B"/>
    <w:rsid w:val="DFFD57A4"/>
    <w:rsid w:val="EFDB183A"/>
    <w:rsid w:val="FBBF02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Body Text"/>
    <w:basedOn w:val="1"/>
    <w:link w:val="9"/>
    <w:qFormat/>
    <w:uiPriority w:val="1"/>
    <w:rPr>
      <w:sz w:val="24"/>
      <w:szCs w:val="24"/>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5">
    <w:name w:val="Title"/>
    <w:basedOn w:val="1"/>
    <w:link w:val="10"/>
    <w:qFormat/>
    <w:uiPriority w:val="1"/>
    <w:pPr>
      <w:spacing w:before="88"/>
      <w:ind w:left="200"/>
    </w:pPr>
    <w:rPr>
      <w:rFonts w:ascii="Arial" w:hAnsi="Arial" w:eastAsia="Arial" w:cs="Arial"/>
      <w:b/>
      <w:bCs/>
      <w:sz w:val="40"/>
      <w:szCs w:val="40"/>
    </w:rPr>
  </w:style>
  <w:style w:type="character" w:styleId="8">
    <w:name w:val="Emphasis"/>
    <w:basedOn w:val="7"/>
    <w:qFormat/>
    <w:uiPriority w:val="20"/>
    <w:rPr>
      <w:i/>
    </w:rPr>
  </w:style>
  <w:style w:type="character" w:customStyle="1" w:styleId="9">
    <w:name w:val="Body Text Char"/>
    <w:basedOn w:val="7"/>
    <w:link w:val="3"/>
    <w:uiPriority w:val="1"/>
    <w:rPr>
      <w:rFonts w:ascii="Times New Roman" w:hAnsi="Times New Roman" w:eastAsia="Times New Roman" w:cs="Times New Roman"/>
      <w:sz w:val="24"/>
      <w:szCs w:val="24"/>
      <w:lang w:eastAsia="en-US"/>
    </w:rPr>
  </w:style>
  <w:style w:type="character" w:customStyle="1" w:styleId="10">
    <w:name w:val="Title Char"/>
    <w:basedOn w:val="7"/>
    <w:link w:val="5"/>
    <w:uiPriority w:val="1"/>
    <w:rPr>
      <w:rFonts w:ascii="Arial" w:hAnsi="Arial" w:eastAsia="Arial" w:cs="Arial"/>
      <w:b/>
      <w:bCs/>
      <w:sz w:val="40"/>
      <w:szCs w:val="40"/>
      <w:lang w:eastAsia="en-US"/>
    </w:rPr>
  </w:style>
  <w:style w:type="paragraph" w:customStyle="1" w:styleId="11">
    <w:name w:val="Table Paragraph"/>
    <w:basedOn w:val="1"/>
    <w:qFormat/>
    <w:uiPriority w:val="1"/>
    <w:pPr>
      <w:spacing w:before="78"/>
      <w:ind w:left="107"/>
      <w:jc w:val="center"/>
    </w:pPr>
    <w:rPr>
      <w:rFonts w:ascii="Arial" w:hAnsi="Arial" w:eastAsia="Arial" w:cs="Ari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xsi="http://www.w3.org/2001/XMLSchema-instance" xmlns:p="http://schemas.microsoft.com/office/2006/metadata/properties"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ma:contentTypeScope="" ma:versionID="156b9bd9aa2fa5b2bdbec83504aab887" ma:contentTypeID="0x0101001F093CA636249C489C86C1AFD8E3CAA1" ct:_="" ma:contentTypeDescription="新建文档。" ma:_="" ma:contentTypeVersion="13" ma:contentTypeName="文档">
  <xsd:schema xmlns:xs="http://www.w3.org/2001/XMLSchema" xmlns:ns3="0cd7632d-614a-4d35-9e21-99d0b7eb30de" xmlns:ns4="0b3ce541-e7e4-4330-8e06-8bd4565d50fd" xmlns:p="http://schemas.microsoft.com/office/2006/metadata/properties" xmlns:xsd="http://www.w3.org/2001/XMLSchema" ns3:_="" ma:root="true" targetNamespace="http://schemas.microsoft.com/office/2006/metadata/properties" ma:fieldsID="f5424a74fc3b330e4c417977162c0f97" ns4:_="">
    <xsd:import namespace="0cd7632d-614a-4d35-9e21-99d0b7eb30de"/>
    <xsd:import namespace="0b3ce541-e7e4-4330-8e06-8bd4565d50fd"/>
    <xsd:element name="properties">
      <xsd:complexType>
        <xsd:sequence>
          <xsd:element name="documentManagement">
            <xsd:complexType>
              <xsd:all>
                <xsd:element minOccurs="0" ref="ns3:MediaServiceMetadata"/>
                <xsd:element minOccurs="0" ref="ns3:MediaServiceFastMetadata"/>
                <xsd:element minOccurs="0" ref="ns3:MediaServiceAutoTags"/>
                <xsd:element minOccurs="0" ref="ns3:MediaServiceDateTaken"/>
                <xsd:element minOccurs="0" ref="ns3:MediaServiceOCR"/>
                <xsd:element minOccurs="0" ref="ns4:SharedWithUsers"/>
                <xsd:element minOccurs="0" ref="ns4:SharedWithDetails"/>
                <xsd:element minOccurs="0" ref="ns4:SharingHintHash"/>
                <xsd:element minOccurs="0" ref="ns3:MediaServiceLocation"/>
                <xsd:element minOccurs="0" ref="ns3:MediaServiceGenerationTime"/>
                <xsd:element minOccurs="0" ref="ns3:MediaServiceEventHashCode"/>
                <xsd:element minOccurs="0" ref="ns3:MediaServiceAutoKeyPoints"/>
                <xsd:element minOccurs="0" ref="ns3:MediaServiceKeyPoints"/>
              </xsd:all>
            </xsd:complexType>
          </xsd:element>
        </xsd:sequence>
      </xsd:complexType>
    </xsd:element>
  </xsd:schema>
  <xsd:schema xmlns:dms="http://schemas.microsoft.com/office/2006/documentManagement/types" xmlns:xs="http://www.w3.org/2001/XMLSchema" xmlns:xsd="http://www.w3.org/2001/XMLSchema" xmlns:pc="http://schemas.microsoft.com/office/infopath/2007/PartnerControls" targetNamespace="0cd7632d-614a-4d35-9e21-99d0b7eb30de" elementFormDefault="qualified">
    <xsd:import namespace="http://schemas.microsoft.com/office/2006/documentManagement/types"/>
    <xsd:import namespace="http://schemas.microsoft.com/office/infopath/2007/PartnerControls"/>
    <xsd:element ma:internalName="MediaServiceMetadata" ma:index="8" ma:displayName="MediaServiceMetadata" ma:description="" name="MediaServiceMetadata" ma:readOnly="true" ma:hidden="true" nillable="true">
      <xsd:simpleType>
        <xsd:restriction base="dms:Note"/>
      </xsd:simpleType>
    </xsd:element>
    <xsd:element ma:internalName="MediaServiceFastMetadata" ma:index="9" ma:displayName="MediaServiceFastMetadata" ma:description="" name="MediaServiceFastMetadata" ma:readOnly="true" ma:hidden="true" nillable="true">
      <xsd:simpleType>
        <xsd:restriction base="dms:Note"/>
      </xsd:simpleType>
    </xsd:element>
    <xsd:element ma:internalName="MediaServiceAutoTags" ma:index="10" ma:displayName="MediaServiceAutoTags" ma:description="" name="MediaServiceAutoTags" ma:readOnly="true" nillable="true">
      <xsd:simpleType>
        <xsd:restriction base="dms:Text"/>
      </xsd:simpleType>
    </xsd:element>
    <xsd:element ma:internalName="MediaServiceDateTaken" ma:index="11" ma:displayName="MediaServiceDateTaken" ma:description="" name="MediaServiceDateTaken" ma:readOnly="true" ma:hidden="true" nillable="true">
      <xsd:simpleType>
        <xsd:restriction base="dms:Text"/>
      </xsd:simpleType>
    </xsd:element>
    <xsd:element ma:internalName="MediaServiceOCR" ma:index="12" ma:displayName="MediaServiceOCR" name="MediaServiceOCR" ma:readOnly="true" nillable="true">
      <xsd:simpleType>
        <xsd:restriction base="dms:Note">
          <xsd:maxLength value="255"/>
        </xsd:restriction>
      </xsd:simpleType>
    </xsd:element>
    <xsd:element ma:internalName="MediaServiceLocation" ma:index="16" ma:displayName="Location" name="MediaServiceLocation" ma:readOnly="true" nillable="true">
      <xsd:simpleType>
        <xsd:restriction base="dms:Text"/>
      </xsd:simpleType>
    </xsd:element>
    <xsd:element ma:internalName="MediaServiceGenerationTime" ma:index="17" ma:displayName="MediaServiceGenerationTime" name="MediaServiceGenerationTime" ma:readOnly="true" ma:hidden="true" nillable="true">
      <xsd:simpleType>
        <xsd:restriction base="dms:Text"/>
      </xsd:simpleType>
    </xsd:element>
    <xsd:element ma:internalName="MediaServiceEventHashCode" ma:index="18" ma:displayName="MediaServiceEventHashCode" name="MediaServiceEventHashCode" ma:readOnly="true" ma:hidden="true" nillable="true">
      <xsd:simpleType>
        <xsd:restriction base="dms:Text"/>
      </xsd:simpleType>
    </xsd:element>
    <xsd:element ma:internalName="MediaServiceAutoKeyPoints" ma:index="19" ma:displayName="MediaServiceAutoKeyPoints" name="MediaServiceAutoKeyPoints" ma:readOnly="true" ma:hidden="true" nillable="true">
      <xsd:simpleType>
        <xsd:restriction base="dms:Note"/>
      </xsd:simpleType>
    </xsd:element>
    <xsd:element ma:internalName="MediaServiceKeyPoints" ma:index="20" ma:displayName="KeyPoints" name="MediaServiceKeyPoints" ma:readOnly="true" nillable="true">
      <xsd:simpleType>
        <xsd:restriction base="dms:Note">
          <xsd:maxLength value="255"/>
        </xsd:restriction>
      </xsd:simpleType>
    </xsd:element>
  </xsd:schema>
  <xsd:schema xmlns:dms="http://schemas.microsoft.com/office/2006/documentManagement/types" xmlns:xs="http://www.w3.org/2001/XMLSchema" xmlns:xsd="http://www.w3.org/2001/XMLSchema" xmlns:pc="http://schemas.microsoft.com/office/infopath/2007/PartnerControls" targetNamespace="0b3ce541-e7e4-4330-8e06-8bd4565d50fd" elementFormDefault="qualified">
    <xsd:import namespace="http://schemas.microsoft.com/office/2006/documentManagement/types"/>
    <xsd:import namespace="http://schemas.microsoft.com/office/infopath/2007/PartnerControls"/>
    <xsd:element ma:internalName="SharedWithUsers" ma:index="13" ma:displayName="共享对象:" name="SharedWithUsers" ma:readOnly="true" nillable="true">
      <xsd:complexType>
        <xsd:complexContent>
          <xsd:extension base="dms:UserMulti">
            <xsd:sequence>
              <xsd:element maxOccurs="unbounded" minOccurs="0" name="UserInfo">
                <xsd:complexType>
                  <xsd:sequence>
                    <xsd:element minOccurs="0" name="DisplayName" type="xsd:string"/>
                    <xsd:element minOccurs="0" name="AccountId" nillable="true" type="dms:UserId"/>
                    <xsd:element minOccurs="0" name="AccountType" type="xsd:string"/>
                  </xsd:sequence>
                </xsd:complexType>
              </xsd:element>
            </xsd:sequence>
          </xsd:extension>
        </xsd:complexContent>
      </xsd:complexType>
    </xsd:element>
    <xsd:element ma:internalName="SharedWithDetails" ma:index="14" ma:displayName="共享对象详细信息" name="SharedWithDetails" ma:readOnly="true" nillable="true">
      <xsd:simpleType>
        <xsd:restriction base="dms:Note">
          <xsd:maxLength value="255"/>
        </xsd:restriction>
      </xsd:simpleType>
    </xsd:element>
    <xsd:element ma:internalName="SharingHintHash" ma:index="15" ma:displayName="共享提示哈希" name="SharingHintHash" ma:readOnly="true" ma:hidden="true" nillable="true">
      <xsd:simpleType>
        <xsd:restriction base="dms:Text"/>
      </xsd:simpleType>
    </xsd:element>
  </xsd:schema>
  <xsd:schema xmlns:dc="http://purl.org/dc/elements/1.1/" xmlns:odoc="http://schemas.microsoft.com/internal/obd" xmlns:xsi="http://www.w3.org/2001/XMLSchema-instance" xmlns="http://schemas.openxmlformats.org/package/2006/metadata/core-properties" xmlns:xsd="http://www.w3.org/2001/XMLSchema" xmlns:dcterms="http://purl.org/dc/terms/" attributeFormDefault="unqualified" blockDefault="#all" targetNamespace="http://schemas.openxmlformats.org/package/2006/metadata/core-properties" elementFormDefault="qualifie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index="0" ma:displayName="内容类型" maxOccurs="1" minOccurs="0" name="contentType" type="xsd:string"/>
        <xsd:element ma:index="4" ma:displayName="标题"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targetNamespace="http://schemas.microsoft.com/office/infopath/2007/PartnerControls" elementFormDefault="qualified">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74EFF2-7632-4AC6-893E-D007CCF262DA}">
  <ds:schemaRefs/>
</ds:datastoreItem>
</file>

<file path=customXml/itemProps3.xml><?xml version="1.0" encoding="utf-8"?>
<ds:datastoreItem xmlns:ds="http://schemas.openxmlformats.org/officeDocument/2006/customXml" ds:itemID="{0BBBC4E9-EEB8-47C5-8CD6-5ED02F539790}">
  <ds:schemaRefs/>
</ds:datastoreItem>
</file>

<file path=customXml/itemProps4.xml><?xml version="1.0" encoding="utf-8"?>
<ds:datastoreItem xmlns:ds="http://schemas.openxmlformats.org/officeDocument/2006/customXml" ds:itemID="{CC786A86-76EB-4CAE-9AB0-FB5685264DFA}">
  <ds:schemaRefs/>
</ds:datastoreItem>
</file>

<file path=docProps/app.xml><?xml version="1.0" encoding="utf-8"?>
<Properties xmlns="http://schemas.openxmlformats.org/officeDocument/2006/extended-properties" xmlns:vt="http://schemas.openxmlformats.org/officeDocument/2006/docPropsVTypes">
  <Template>Normal</Template>
  <Company>The University of Nottingham Ningbo China</Company>
  <Pages>9</Pages>
  <Words>117</Words>
  <Characters>669</Characters>
  <Lines>1</Lines>
  <Paragraphs>1</Paragraphs>
  <TotalTime>1</TotalTime>
  <ScaleCrop>false</ScaleCrop>
  <LinksUpToDate>false</LinksUpToDate>
  <CharactersWithSpaces>785</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2020-09-18T13:28:00Z</dcterms:created>
  <dc:creator>Tracey Fallon</dc:creator>
  <cp:lastModifiedBy>L.LLLLL</cp:lastModifiedBy>
  <dcterms:modified xsi:type="dcterms:W3CDTF">2025-12-01T15:25:49Z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0x0101001F093CA636249C489C86C1AFD8E3CAA1</vt:lpwstr>
  </property>
  <property fmtid="{D5CDD505-2E9C-101B-9397-08002B2CF9AE}" pid="3" name="KSOProductBuildVer">
    <vt:lpwstr>2052-12.1.22553.22553</vt:lpwstr>
  </property>
  <property fmtid="{D5CDD505-2E9C-101B-9397-08002B2CF9AE}" pid="4" name="ICV">
    <vt:lpwstr>04B700A013432346D9122469217C04DD_42</vt:lpwstr>
  </property>
</Properties>
</file>