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7E54C1">
      <w:pPr>
        <w:spacing w:after="0" w:line="360" w:lineRule="auto"/>
        <w:jc w:val="both"/>
        <w:rPr>
          <w:rFonts w:hint="eastAsia" w:ascii="Times New Roman Bold" w:hAnsi="Times New Roman Bold" w:eastAsia="Times New Roman" w:cs="Times New Roman Bold"/>
          <w:b/>
          <w:bCs/>
          <w:color w:val="000000" w:themeColor="text1"/>
          <w:sz w:val="26"/>
          <w:szCs w:val="26"/>
          <w:lang w:val="en-US" w:eastAsia="zh-CN"/>
          <w14:textFill>
            <w14:solidFill>
              <w14:schemeClr w14:val="tx1"/>
            </w14:solidFill>
          </w14:textFill>
        </w:rPr>
      </w:pPr>
      <w:bookmarkStart w:id="0" w:name="_GoBack"/>
      <w:bookmarkEnd w:id="0"/>
      <w:r>
        <w:rPr>
          <w:rFonts w:hint="eastAsia" w:ascii="Times New Roman Bold" w:hAnsi="Times New Roman Bold" w:eastAsia="Times New Roman" w:cs="Times New Roman Bold"/>
          <w:b/>
          <w:bCs/>
          <w:color w:val="000000" w:themeColor="text1"/>
          <w:sz w:val="26"/>
          <w:szCs w:val="26"/>
          <w:lang w:val="en-US" w:eastAsia="zh-CN"/>
          <w14:textFill>
            <w14:solidFill>
              <w14:schemeClr w14:val="tx1"/>
            </w14:solidFill>
          </w14:textFill>
        </w:rPr>
        <w:t>Intro</w:t>
      </w:r>
    </w:p>
    <w:p w14:paraId="212501BE">
      <w:pPr>
        <w:spacing w:after="0" w:line="360" w:lineRule="auto"/>
        <w:jc w:val="both"/>
        <w:rPr>
          <w:rFonts w:hint="eastAsia" w:ascii="Times New Roman Bold" w:hAnsi="Times New Roman Bold" w:eastAsia="Times New Roman" w:cs="Times New Roman Bold"/>
          <w:b/>
          <w:bCs/>
          <w:color w:val="000000" w:themeColor="text1"/>
          <w:sz w:val="26"/>
          <w:szCs w:val="26"/>
          <w:lang w:val="en-US" w:eastAsia="zh-CN"/>
          <w14:textFill>
            <w14:solidFill>
              <w14:schemeClr w14:val="tx1"/>
            </w14:solidFill>
          </w14:textFill>
        </w:rPr>
      </w:pPr>
    </w:p>
    <w:p w14:paraId="5F3F3724">
      <w:pPr>
        <w:spacing w:after="0" w:line="360" w:lineRule="auto"/>
        <w:jc w:val="both"/>
      </w:pPr>
      <w:r>
        <w:rPr>
          <w:rFonts w:ascii="Times New Roman" w:hAnsi="Times New Roman" w:eastAsia="Times New Roman" w:cs="Times New Roman"/>
          <w:sz w:val="24"/>
          <w:szCs w:val="24"/>
        </w:rPr>
        <w:t xml:space="preserve">Green advertising has become a routine vehicle through which sportswear brands such as Nike and Adidas communicate environmental commitment, and a large share of that communication is carried visually rather than verbally. </w:t>
      </w:r>
      <w:r>
        <w:rPr>
          <w:rFonts w:hint="eastAsia" w:ascii="Times New Roman" w:hAnsi="Times New Roman" w:eastAsia="Times New Roman" w:cs="Times New Roman"/>
          <w:sz w:val="24"/>
          <w:szCs w:val="24"/>
        </w:rPr>
        <w:t>The use of forests, oceans, recycled materials, and earthy colors is often more persuasive than straightforward advertising slogans and can stimulate consumers' imagination.</w:t>
      </w:r>
      <w:r>
        <w:rPr>
          <w:rFonts w:hint="default" w:cs="Times New Roman"/>
          <w:sz w:val="24"/>
          <w:szCs w:val="24"/>
          <w:lang w:val="en-US"/>
        </w:rPr>
        <w:t xml:space="preserve"> </w:t>
      </w:r>
      <w:r>
        <w:rPr>
          <w:rFonts w:ascii="Times New Roman" w:hAnsi="Times New Roman" w:eastAsia="Times New Roman" w:cs="Times New Roman"/>
          <w:sz w:val="24"/>
          <w:szCs w:val="24"/>
        </w:rPr>
        <w:t>The complication is that audiences do not decode these images uniformly. Some viewers read lush natural imagery as a sign of genuine ecological responsibility, whereas others treat the same imagery as decoration layered over an unchanged business model. This divergence raises a question that existing scholarship has addressed only in part: how do consumers judge whether the visual surface of a green advertisement is authentic, and what follows from that judgment for their suspicion of greenwashing, their trust in the brand, and their willingness to buy. The review that follows builds the conceptual basis for examining these relationships. It first situates green advertising as a visual practice, then traces how greenwashing research has shifted from firm behaviour toward consumer perception, before developing perceived visual authenticity as the study’s central construct and connecting it to green trust and purchase intention.</w:t>
      </w:r>
    </w:p>
    <w:p w14:paraId="0E66EBDB">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Green advertising as a visual practice</w:t>
      </w:r>
    </w:p>
    <w:p w14:paraId="3547E9F0">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 xml:space="preserve">Green advertising is commonly defined as marketing communication that foregrounds the environmental attributes of a product, a brand, or a corporate philosophy (Banerjee, Gulas, &amp; Iyer, 1995). Early treatments concentrated on the verbal claim and asked whether statements about recyclability or reduced emissions changed attitudes. Later work widened the focus to the affective and aesthetic properties of the message. Hartmann, Apaolaza-Ibáñez, and Forcada Sainz (2005) classify environmental brand positioning into two categories: functional positioning, which focuses on tangible environmental benefits, and emotional positioning, which binds the brand to the pleasant feeling of being in a natural environment. They reported that this emotional route can be at least as effective in shaping brand attitude. Extending this argument, Hartmann and Apaolaza-Ibáñez (2009) proposed that nature imagery can induce a virtual nature experience, an imagined contact with pleasant natural environments that elicits positive emotion and transfers favourably onto the advertised brand. On this account, the visual channel is not ornamental but a primary mechanism of green persuasion. </w:t>
      </w:r>
    </w:p>
    <w:p w14:paraId="12940959">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Semiotics and</w:t>
      </w:r>
      <w:r>
        <w:rPr>
          <w:rFonts w:hint="default" w:ascii="Times New Roman" w:hAnsi="Times New Roman" w:eastAsia="Times New Roman" w:cs="Times New Roman"/>
          <w:kern w:val="0"/>
          <w:sz w:val="24"/>
          <w:szCs w:val="24"/>
          <w:highlight w:val="yellow"/>
        </w:rPr>
        <w:t xml:space="preserve"> multimodal</w:t>
      </w:r>
      <w:r>
        <w:rPr>
          <w:rFonts w:hint="default" w:ascii="Times New Roman" w:hAnsi="Times New Roman" w:eastAsia="Times New Roman" w:cs="Times New Roman"/>
          <w:kern w:val="0"/>
          <w:sz w:val="24"/>
          <w:szCs w:val="24"/>
        </w:rPr>
        <w:t xml:space="preserve"> theory provide key analytical tools for a deeper understanding of how sports brands construct green meaning through visual design. Semiotics</w:t>
      </w:r>
      <w:r>
        <w:rPr>
          <w:rFonts w:hint="eastAsia" w:eastAsia="宋体" w:cs="Times New Roman"/>
          <w:kern w:val="0"/>
          <w:sz w:val="24"/>
          <w:szCs w:val="24"/>
          <w:lang w:val="en-US" w:eastAsia="zh-CN"/>
        </w:rPr>
        <w:t xml:space="preserve"> </w:t>
      </w:r>
      <w:r>
        <w:rPr>
          <w:rFonts w:hint="default" w:ascii="Times New Roman" w:hAnsi="Times New Roman" w:eastAsia="Times New Roman" w:cs="Times New Roman"/>
          <w:kern w:val="0"/>
          <w:sz w:val="24"/>
          <w:szCs w:val="24"/>
        </w:rPr>
        <w:t xml:space="preserve">provides a core analytical framework for interpreting the meaning construction of visual elements in green advertising, and three scholars have laid its theoretical foundation. Ferdinand de Saussure proposed the signifier/signified binary structure, which holds that visual symbols (such as green leaves) are a combination of material form (signifier) and connotative meaning (signified, i.e., environmental protection) (Saussure, </w:t>
      </w:r>
      <w:r>
        <w:rPr>
          <w:rFonts w:hint="default" w:cs="Times New Roman"/>
          <w:kern w:val="0"/>
          <w:sz w:val="24"/>
          <w:szCs w:val="24"/>
          <w:lang w:val="en-US"/>
        </w:rPr>
        <w:t xml:space="preserve">[the date of original publication] </w:t>
      </w:r>
      <w:r>
        <w:rPr>
          <w:rFonts w:hint="default" w:ascii="Times New Roman" w:hAnsi="Times New Roman" w:eastAsia="Times New Roman" w:cs="Times New Roman"/>
          <w:kern w:val="0"/>
          <w:sz w:val="24"/>
          <w:szCs w:val="24"/>
        </w:rPr>
        <w:t>2011). Charles Sanders Peirce extended this framework to the triangular model (symbol carrier, object, interpretant), emphasizing that the meaning of symbols depends on the audience's interpretation context—such as the circular arrow, which ordinary consumers may interpret as environmental protection, while industry insiders may interpret as cost savings (Peirce, 1998). R</w:t>
      </w:r>
      <w:r>
        <w:rPr>
          <w:rFonts w:hint="default" w:ascii="Times New Roman" w:hAnsi="Times New Roman" w:eastAsia="Times New Roman" w:cs="Times New Roman"/>
          <w:kern w:val="0"/>
          <w:sz w:val="24"/>
          <w:szCs w:val="24"/>
          <w:highlight w:val="yellow"/>
        </w:rPr>
        <w:t xml:space="preserve">oland Barthes further proposed the myth </w:t>
      </w:r>
      <w:r>
        <w:rPr>
          <w:rFonts w:hint="default" w:cs="Times New Roman"/>
          <w:kern w:val="0"/>
          <w:sz w:val="24"/>
          <w:szCs w:val="24"/>
          <w:lang w:val="en-US"/>
        </w:rPr>
        <w:t xml:space="preserve">framework </w:t>
      </w:r>
      <w:r>
        <w:rPr>
          <w:rFonts w:hint="default" w:ascii="Times New Roman" w:hAnsi="Times New Roman" w:eastAsia="Times New Roman" w:cs="Times New Roman"/>
          <w:kern w:val="0"/>
          <w:sz w:val="24"/>
          <w:szCs w:val="24"/>
        </w:rPr>
        <w:t xml:space="preserve">theory, which suggests that visual symbols in advertisements are imbued with cultural myths; for example, the combination of white clouds and blue sky not only represents natural landscapes, but also constructs myths of a pure and pollution-free lifestyle (Barthes, 1972). </w:t>
      </w:r>
    </w:p>
    <w:p w14:paraId="62B9494D">
      <w:pPr>
        <w:pStyle w:val="10"/>
        <w:keepNext w:val="0"/>
        <w:keepLines w:val="0"/>
        <w:pageBreakBefore w:val="0"/>
        <w:widowControl/>
        <w:suppressLineNumbers w:val="0"/>
        <w:kinsoku/>
        <w:wordWrap/>
        <w:overflowPunct/>
        <w:topLinePunct w:val="0"/>
        <w:autoSpaceDE/>
        <w:autoSpaceDN/>
        <w:bidi w:val="0"/>
        <w:adjustRightInd/>
        <w:snapToGrid/>
        <w:spacing w:before="0" w:beforeAutospacing="0" w:line="360" w:lineRule="auto"/>
        <w:textAlignment w:val="auto"/>
        <w:rPr>
          <w:rFonts w:hint="default" w:ascii="Times New Roman" w:hAnsi="Times New Roman" w:eastAsia="Times New Roman" w:cs="Times New Roman"/>
          <w:kern w:val="0"/>
          <w:sz w:val="24"/>
          <w:szCs w:val="24"/>
        </w:rPr>
      </w:pPr>
      <w:r>
        <w:rPr>
          <w:rFonts w:hint="default" w:ascii="Times New Roman" w:hAnsi="Times New Roman" w:eastAsia="Times New Roman" w:cs="Times New Roman"/>
          <w:kern w:val="0"/>
          <w:sz w:val="24"/>
          <w:szCs w:val="24"/>
        </w:rPr>
        <w:t xml:space="preserve">To apply these theories to sportswear brands, Kress and </w:t>
      </w:r>
      <w:r>
        <w:rPr>
          <w:rFonts w:hint="default" w:ascii="Times New Roman" w:hAnsi="Times New Roman" w:eastAsia="Times New Roman" w:cs="Times New Roman"/>
          <w:kern w:val="0"/>
          <w:sz w:val="24"/>
          <w:szCs w:val="24"/>
          <w:highlight w:val="yellow"/>
        </w:rPr>
        <w:t xml:space="preserve">van Leeuwen’s </w:t>
      </w:r>
      <w:r>
        <w:rPr>
          <w:rFonts w:hint="default" w:ascii="Times New Roman" w:hAnsi="Times New Roman" w:eastAsia="Times New Roman" w:cs="Times New Roman"/>
          <w:kern w:val="0"/>
          <w:sz w:val="24"/>
          <w:szCs w:val="24"/>
        </w:rPr>
        <w:t>(2006) multimodal visual grammar is particularly relevant, as it incorporates dimensions such as material and composition. Sports brands often achieve a dual encoding of "environmental meaning" and "performance meaning" by juxtaposing technological elements with natural imagery or the rough textures of recycled materials. The point that matters for the present study is that such visual cues are interpretive resources rather than fixed messages. Their meaning is completed by the audience, which is why an advertisement can be perceived as sincere by one viewer and hypocritical by another.</w:t>
      </w:r>
    </w:p>
    <w:p w14:paraId="7509AABD">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Greenwashing: from corporate practice to consumer perception</w:t>
      </w:r>
    </w:p>
    <w:p w14:paraId="0EF1A1F0">
      <w:pPr>
        <w:spacing w:after="0" w:line="360" w:lineRule="auto"/>
        <w:jc w:val="both"/>
      </w:pPr>
      <w:r>
        <w:rPr>
          <w:rFonts w:ascii="Times New Roman" w:hAnsi="Times New Roman" w:eastAsia="Times New Roman" w:cs="Times New Roman"/>
          <w:sz w:val="24"/>
          <w:szCs w:val="24"/>
        </w:rPr>
        <w:t>Alongside the growth of green advertising, researchers have documented the risk that environmental communication outpaces environmental performance. Delmas and Burbano (2011) describe greenwashing as the conjunction of poor environmental conduct and positive environmental communication, and identify firm-level, market-level and individual drivers that make the practice attractive. Their framing locates greenwashing in the gap between what a company does and what it says, and treats misleading imagery and symbolism as among the means by which that gap is concealed. A firm-centred definition of this kind is useful for diagnosis, yet it says relatively little about the moment that determines advertising effectiveness, namely the consumer’s own appraisal.</w:t>
      </w:r>
    </w:p>
    <w:p w14:paraId="3CDA3C0E">
      <w:pPr>
        <w:spacing w:after="0" w:line="360" w:lineRule="auto"/>
        <w:ind w:firstLine="480"/>
        <w:jc w:val="both"/>
      </w:pPr>
      <w:r>
        <w:rPr>
          <w:rFonts w:ascii="Times New Roman" w:hAnsi="Times New Roman" w:eastAsia="Times New Roman" w:cs="Times New Roman"/>
          <w:sz w:val="24"/>
          <w:szCs w:val="24"/>
        </w:rPr>
        <w:t>Subsequent research has therefore reframed greenwashing as a perception. Szabo and Webster (2021) treat perceived greenwashing as the consumer’s belief that a brand misrepresents its environmental conduct, and show that such beliefs colour wider product and environmental judgments. A related body of work on green skepticism finds that doubt about environmental claims is both common and consequential. Leonidou and Skarmeas (2017) trace its causes and its corrosive effect on responses to green marketing, while Matthes and Wonneberger (2014) report that more skeptical consumers discount green appeals even when those appeals are visually polished. Chen and Chang (2013) connect these strands empirically, demonstrating that greenwash raises green consumer confusion and perceived risk, which in turn depress green trust. Across this literature the consumer appears not as a passive recipient of claims but as an active, and often suspicious, interpreter.</w:t>
      </w:r>
    </w:p>
    <w:p w14:paraId="4B21ED1A">
      <w:pPr>
        <w:spacing w:after="0" w:line="360" w:lineRule="auto"/>
        <w:ind w:firstLine="480"/>
        <w:jc w:val="both"/>
      </w:pPr>
      <w:r>
        <w:rPr>
          <w:rFonts w:ascii="Times New Roman" w:hAnsi="Times New Roman" w:eastAsia="Times New Roman" w:cs="Times New Roman"/>
          <w:sz w:val="24"/>
          <w:szCs w:val="24"/>
        </w:rPr>
        <w:t>What the perception literature has examined less frequently is the role of the image itself. Parguel, Benoît-Moreau, and Russell (2015) address this directly through the notion of executional greenwashing, defined as the use of nature-evoking elements in the execution of an advertisement to inflate a brand’s ecological image irrespective of any explicit claim. Across three experiments they find that merely evoking nature can lead consumers to overstate a brand’s environmental standing, an effect concentrated among viewers with limited category knowledge and only partly corrected by hard performance information. The study is relevant here for two reasons. It establishes that visual treatment, and not only verbal assertion, can generate greenwashing, and it implies that an identical visual cue may be processed as legitimate or as manipulative depending on the viewer’s resources and disposition. Rahman and Nguyen-Viet (2023) extend the consumer-perception view by modelling how green advertising receptivity, non-deception, green brand image and transparency feed green brand trust, and by situating perceived greenwashing risk among the perceptions that branding must manage. Their finding that receptivity and brand image strengthen trust reinforces the view that favourable perceptions are constructed rather than transmitted, and that perceived integrity is the hinge on which green communication turns.</w:t>
      </w:r>
    </w:p>
    <w:p w14:paraId="2C0842CF">
      <w:pPr>
        <w:pStyle w:val="3"/>
        <w:spacing w:before="260" w:after="140" w:line="360" w:lineRule="auto"/>
        <w:rPr>
          <w:rFonts w:hint="default" w:ascii="Times New Roman Bold" w:hAnsi="Times New Roman Bold" w:cs="Times New Roman Bold"/>
          <w:b/>
          <w:bCs/>
          <w:color w:val="000000" w:themeColor="text1"/>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Conceptualising perceived visual authenticity</w:t>
      </w:r>
    </w:p>
    <w:p w14:paraId="695B9818">
      <w:pPr>
        <w:spacing w:after="0" w:line="360" w:lineRule="auto"/>
        <w:jc w:val="both"/>
      </w:pPr>
      <w:r>
        <w:rPr>
          <w:rFonts w:ascii="Times New Roman" w:hAnsi="Times New Roman" w:eastAsia="Times New Roman" w:cs="Times New Roman"/>
          <w:sz w:val="24"/>
          <w:szCs w:val="24"/>
        </w:rPr>
        <w:t>The concept that can organise these observations is authenticity. In consumer research authenticity is treated not as an objective property of an object but as a judgment that audiences confer (Gilmore &amp; Pine, 2007). Beverland’s (2005) study of luxury wines showed that perceived authenticity is assembled from cues such as craft, heritage and apparent sincerity, frequently in spite of rather than because of commercial reality. Moving toward measurable accounts of the construct, Napoli, Dickinson, Beverland, and Farrelly (2014) and Morhart, Malär, Guèvremont, Girardin, and Grohmann (2015) converge on the idea that perceived brand authenticity reflects the congruence consumers sense between what a brand expresses and what they take its underlying identity to be, with Morhart et al. specifying dimensions of credibility, integrity, symbolism and continuity. Authenticity is therefore an inference about genuineness, and it is an inference that consumers prove willing to draw from surface cues.</w:t>
      </w:r>
    </w:p>
    <w:p w14:paraId="0B8D6775">
      <w:pPr>
        <w:spacing w:after="0" w:line="360" w:lineRule="auto"/>
        <w:ind w:firstLine="480"/>
        <w:jc w:val="both"/>
      </w:pPr>
      <w:r>
        <w:rPr>
          <w:rFonts w:ascii="Times New Roman" w:hAnsi="Times New Roman" w:eastAsia="Times New Roman" w:cs="Times New Roman"/>
          <w:sz w:val="24"/>
          <w:szCs w:val="24"/>
        </w:rPr>
        <w:t>How those cues function has been clarified by Grayson and Martinec (2004), who distinguish indexical authenticity, which rests on a verifiable connection to a genuine origin, from iconic authenticity, which rests on resemblance to something understood to be real or original. Napoli et al. (2014) make a parallel observation, noting that authenticity attributions draw on indexical, iconic and existential cues and that the weight given to iconic cues can be tempered by a consumer’s marketing skepticism. Visual elements in green advertising fall largely on the iconic side of this distinction. A photograph of a forest does not document a brand’s supply chain; it resembles, and thereby evokes, the idea of environmental care. Because iconic cues persuade through likeness rather than evidence, their authenticity is exactly what a skeptical viewer is positioned to question.</w:t>
      </w:r>
    </w:p>
    <w:p w14:paraId="05D97452">
      <w:pPr>
        <w:spacing w:after="0" w:line="360" w:lineRule="auto"/>
        <w:ind w:firstLine="480"/>
        <w:jc w:val="both"/>
      </w:pPr>
      <w:r>
        <w:rPr>
          <w:rFonts w:ascii="Times New Roman" w:hAnsi="Times New Roman" w:eastAsia="Times New Roman" w:cs="Times New Roman"/>
          <w:sz w:val="24"/>
          <w:szCs w:val="24"/>
        </w:rPr>
        <w:t xml:space="preserve">Drawing these </w:t>
      </w:r>
      <w:r>
        <w:rPr>
          <w:rFonts w:hint="default" w:cs="Times New Roman"/>
          <w:sz w:val="24"/>
          <w:szCs w:val="24"/>
          <w:lang w:val="en-US"/>
        </w:rPr>
        <w:t xml:space="preserve">perspectives </w:t>
      </w:r>
      <w:r>
        <w:rPr>
          <w:rFonts w:ascii="Times New Roman" w:hAnsi="Times New Roman" w:eastAsia="Times New Roman" w:cs="Times New Roman"/>
          <w:sz w:val="24"/>
          <w:szCs w:val="24"/>
        </w:rPr>
        <w:t>literatures together, the present study defines perceived visual authenticity as the degree to which a consumer judges the visual presentation of an environmental advertisement, including its imagery, colour, setting, materials and overall treatment, to be a sincere and credible reflection of the brand’s environmental commitment rather than a decorative or strategic surface. The construct is deliberately narrower than perceived brand authenticity. It is anchored to a single modality, the visual, and to a single stimulus, one advertisement, rather than to the brand as a whole, and it concerns the environmental claim in particular rather than authenticity in general. Positioned in this way, perceived visual authenticity operates as the evaluative counterpart to executional greenwashing. Where Parguel et al. (2015) describe the capacity of nature imagery to mislead, perceived visual authenticity describes the consumer’s judgment of whether that imagery is earned, and it allows that judgment to range from full acceptance to outright suspicion.</w:t>
      </w:r>
    </w:p>
    <w:p w14:paraId="53D597D2">
      <w:pPr>
        <w:spacing w:after="0" w:line="360" w:lineRule="auto"/>
        <w:ind w:firstLine="480"/>
        <w:jc w:val="both"/>
      </w:pPr>
      <w:r>
        <w:rPr>
          <w:rFonts w:ascii="Times New Roman" w:hAnsi="Times New Roman" w:eastAsia="Times New Roman" w:cs="Times New Roman"/>
          <w:sz w:val="24"/>
          <w:szCs w:val="24"/>
        </w:rPr>
        <w:t>Treating visual authenticity as a distinct, consumer-level construct addresses a limitation in the existing work. Authenticity scales have been developed mainly at the level of the brand and have privileged verbal and historical cues such as heritage and provenance, leaving the visual surface of a specific advertisement largely implicit. Research on executional greenwashing has shown that visuals shape ecological image, yet it has framed the outcome as misperception rather than as an authenticity judgment that consumers themselves articulate and could report. The space between these positions, in which the visual character of a green advertisement is evaluated by viewers for its sincerity and that evaluation is measured directly, is where this study is located. Establishing the construct also gives empirical content to the first research question, which asks how perceived visual authenticity relates to perceptions of greenwashing. If authenticity is the inference of genuineness and greenwashing perception is the inference of misrepresentation, the two ought to stand in tension, such that advertisements judged visually authentic attract weaker greenwashing perceptions.</w:t>
      </w:r>
    </w:p>
    <w:p w14:paraId="1198D678">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Green trust and the path from authenticity to trust</w:t>
      </w:r>
    </w:p>
    <w:p w14:paraId="286367E7">
      <w:pPr>
        <w:spacing w:after="0" w:line="360" w:lineRule="auto"/>
        <w:jc w:val="both"/>
      </w:pPr>
      <w:r>
        <w:rPr>
          <w:rFonts w:ascii="Times New Roman" w:hAnsi="Times New Roman" w:eastAsia="Times New Roman" w:cs="Times New Roman"/>
          <w:sz w:val="24"/>
          <w:szCs w:val="24"/>
        </w:rPr>
        <w:t>The consequences of these perceptions are usually traced through green trust. Chen (2010) defines green trust as a consumer’s willingness to rely on a brand on the basis of belief in its environmental credibility, benevolence and ability, and positions it as a core component of green brand equity. Trust of this kind carries weight because environmental quality is largely a credence attribute that buyers cannot verify at the point of purchase, which places a premium on whatever signals of integrity the brand can offer. Chen and Chang (2013) demonstrate the fragility of that trust, finding that perceived greenwash erodes it through the intervening states of confusion and perceived risk.</w:t>
      </w:r>
    </w:p>
    <w:p w14:paraId="3A0DA8A4">
      <w:pPr>
        <w:spacing w:after="0" w:line="360" w:lineRule="auto"/>
        <w:ind w:firstLine="480"/>
        <w:jc w:val="both"/>
      </w:pPr>
      <w:r>
        <w:rPr>
          <w:rFonts w:ascii="Times New Roman" w:hAnsi="Times New Roman" w:eastAsia="Times New Roman" w:cs="Times New Roman"/>
          <w:sz w:val="24"/>
          <w:szCs w:val="24"/>
        </w:rPr>
        <w:t>If trust depends on perceived integrity, then the authenticity of a brand’s visual communication is a plausible antecedent of it. Rahman, Nguyen-Viet, Bhatti, and Salo (2025) offer the most direct support, modelling green brand trust as a function of non-deception, perceived greenwashing concerns and brand nature experiences, and reporting that trust mediates the link from these perceptions to purchase intention. Their construct of brand nature experiences is especially pertinent, because the felt sense of nature that a brand provides is, in advertising, produced largely through visual means, the very imagery whose authenticity this study examines. Read alongside Hartmann and Apaolaza-Ibáñez’s (2009) virtual nature experience, the implication is that nature imagery can do more than please. When it is judged sincere, it may furnish the perceived integrity on which trust is built. Framed through signalling logic, a visually authentic advertisement functions as a credible signal that the consumer attributes to genuine environmental commitment rather than to strategic self-presentation, and it is this attribution that supports trust. The second research question follows from this reasoning, proposing that higher perceived visual authenticity is associated with greater green trust.</w:t>
      </w:r>
    </w:p>
    <w:p w14:paraId="3E970A06">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Greenwashing perception, green trust and purchase intention</w:t>
      </w:r>
    </w:p>
    <w:p w14:paraId="0F065DDB">
      <w:pPr>
        <w:spacing w:after="0" w:line="360" w:lineRule="auto"/>
        <w:jc w:val="both"/>
      </w:pPr>
      <w:r>
        <w:rPr>
          <w:rFonts w:ascii="Times New Roman" w:hAnsi="Times New Roman" w:eastAsia="Times New Roman" w:cs="Times New Roman"/>
          <w:sz w:val="24"/>
          <w:szCs w:val="24"/>
        </w:rPr>
        <w:t>The behavioural endpoint of the model is purchase intention, understood as the consumer’s stated likelihood of choosing the brand. A consistent finding across green marketing research is that trust converts favourable perception into intention. Chen (2010) links green trust to stronger equity and preference, and Rahman and Nguyen-Viet (2023) report green brand trust feeding purchase intention, a pattern echoed in meta-analytic evidence on the antecedents of green purchase intention (Zhuang, Luo, &amp; Riaz, 2021). The underlying logic is uncomplicated in outline: consumers who believe a brand’s environmental position is genuine are more disposed to act on that belief.</w:t>
      </w:r>
    </w:p>
    <w:p w14:paraId="0426EE53">
      <w:pPr>
        <w:spacing w:after="0" w:line="360" w:lineRule="auto"/>
        <w:ind w:firstLine="48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Greenwashing perception works in the opposite direction, and through more than one route. Suspected misrepresentation can lower intention directly, by attaching reputational and ethical risk to the purchase, and indirectly, by depleting the trust that would otherwise carry intention forward (Chen &amp; Chang, 2013; Rahman et al., 2025). The third research question gathers these effects together by asking how perceived greenwashing and green trust jointly shape purchase intention. The expectation, consistent with the cited evidence, is that green trust raises intention while perceived greenwashing lowers it, with trust likely to carry part of the influence of the upstream perceptions.</w:t>
      </w:r>
    </w:p>
    <w:p w14:paraId="2AF28063">
      <w:pPr>
        <w:spacing w:after="0" w:line="360" w:lineRule="auto"/>
        <w:ind w:firstLine="480"/>
        <w:jc w:val="both"/>
        <w:rPr>
          <w:rFonts w:hint="default" w:cs="Times New Roman"/>
          <w:sz w:val="24"/>
          <w:szCs w:val="24"/>
          <w:lang w:val="en-US"/>
        </w:rPr>
      </w:pPr>
      <w:r>
        <w:rPr>
          <w:rFonts w:hint="default" w:cs="Times New Roman"/>
          <w:sz w:val="24"/>
          <w:szCs w:val="24"/>
          <w:lang w:val="en-US"/>
        </w:rPr>
        <w:t xml:space="preserve">RQ1 </w:t>
      </w:r>
    </w:p>
    <w:p w14:paraId="01475077">
      <w:pPr>
        <w:spacing w:after="0" w:line="360" w:lineRule="auto"/>
        <w:ind w:firstLine="480"/>
        <w:jc w:val="both"/>
        <w:rPr>
          <w:rFonts w:hint="default" w:cs="Times New Roman"/>
          <w:sz w:val="24"/>
          <w:szCs w:val="24"/>
          <w:lang w:val="en-US"/>
        </w:rPr>
      </w:pPr>
      <w:r>
        <w:rPr>
          <w:rFonts w:hint="default" w:cs="Times New Roman"/>
          <w:sz w:val="24"/>
          <w:szCs w:val="24"/>
          <w:lang w:val="en-US"/>
        </w:rPr>
        <w:t>RQ2</w:t>
      </w:r>
    </w:p>
    <w:p w14:paraId="0CC66AA1">
      <w:pPr>
        <w:spacing w:after="0" w:line="360" w:lineRule="auto"/>
        <w:ind w:firstLine="480"/>
        <w:jc w:val="both"/>
        <w:rPr>
          <w:rFonts w:hint="default" w:cs="Times New Roman"/>
          <w:sz w:val="24"/>
          <w:szCs w:val="24"/>
          <w:lang w:val="en-US"/>
        </w:rPr>
      </w:pPr>
      <w:r>
        <w:rPr>
          <w:rFonts w:hint="default" w:cs="Times New Roman"/>
          <w:sz w:val="24"/>
          <w:szCs w:val="24"/>
          <w:lang w:val="en-US"/>
        </w:rPr>
        <w:t>RQ3</w:t>
      </w:r>
    </w:p>
    <w:p w14:paraId="68B67543">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Synthesis and research gap</w:t>
      </w:r>
    </w:p>
    <w:p w14:paraId="4B113CE2">
      <w:pPr>
        <w:spacing w:after="0" w:line="360" w:lineRule="auto"/>
        <w:jc w:val="both"/>
      </w:pPr>
      <w:r>
        <w:rPr>
          <w:rFonts w:ascii="Times New Roman" w:hAnsi="Times New Roman" w:eastAsia="Times New Roman" w:cs="Times New Roman"/>
          <w:sz w:val="24"/>
          <w:szCs w:val="24"/>
        </w:rPr>
        <w:t>Considered together, the literature supplies the components of a coherent argument but has not assembled them in the form this study proposes. Green advertising persuades substantially through visual means (Hartmann &amp; Apaolaza-Ibáñez, 2009; Kress &amp; van Leeuwen, 2006). Those visual means can mislead, which makes their sincerity a live question for audiences (Parguel et al., 2015). Authenticity research explains how consumers infer sincerity from cues but has not isolated the visual modality at the level of a single advertisement (Morhart et al., 2015; Napoli et al., 2014). Trust research explains why such inferences matter for behaviour, yet it has tended to take verbal claims, eco-labels or overall brand image as the input rather than the judged authenticity of the image itself (Chen, 2010; Rahman &amp; Nguyen-Viet, 2023; Rahman et al., 2025). The contribution of the present study is to place perceived visual authenticity at the head of this chain and to test its relationships with greenwashing perception, green trust and, through them, purchase intention.</w:t>
      </w:r>
    </w:p>
    <w:p w14:paraId="70D80A23">
      <w:pPr>
        <w:spacing w:after="0" w:line="360" w:lineRule="auto"/>
        <w:ind w:firstLine="480"/>
        <w:jc w:val="both"/>
      </w:pPr>
      <w:r>
        <w:rPr>
          <w:rFonts w:ascii="Times New Roman" w:hAnsi="Times New Roman" w:eastAsia="Times New Roman" w:cs="Times New Roman"/>
          <w:strike/>
          <w:dstrike w:val="0"/>
          <w:sz w:val="24"/>
          <w:szCs w:val="24"/>
        </w:rPr>
        <w:t>Three gaps justify the design.</w:t>
      </w:r>
      <w:r>
        <w:rPr>
          <w:rFonts w:ascii="Times New Roman" w:hAnsi="Times New Roman" w:eastAsia="Times New Roman" w:cs="Times New Roman"/>
          <w:sz w:val="24"/>
          <w:szCs w:val="24"/>
        </w:rPr>
        <w:t xml:space="preserve"> The visual dimension of authenticity has been undertheorised relative to verbal and historical cues, despite evidence that imagery drives ecological judgments. Studies of executional greenwashing have demonstrated the persuasive force of nature imagery without measuring whether consumers regard that imagery as authentic.</w:t>
      </w:r>
      <w:r>
        <w:rPr>
          <w:rFonts w:ascii="Times New Roman" w:hAnsi="Times New Roman" w:eastAsia="Times New Roman" w:cs="Times New Roman"/>
          <w:strike/>
          <w:dstrike w:val="0"/>
          <w:sz w:val="24"/>
          <w:szCs w:val="24"/>
        </w:rPr>
        <w:t xml:space="preserve"> And </w:t>
      </w:r>
      <w:r>
        <w:rPr>
          <w:rFonts w:ascii="Times New Roman" w:hAnsi="Times New Roman" w:eastAsia="Times New Roman" w:cs="Times New Roman"/>
          <w:sz w:val="24"/>
          <w:szCs w:val="24"/>
        </w:rPr>
        <w:t xml:space="preserve">although green trust and purchase intention are well studied, their antecedents are seldom specified at the level of a controlled visual stimulus. The sportswear sector offers a suitable setting in which to address these gaps, because brands in the category combine heavy reliance on nature-themed visual communication with business models whose material and supply-chain impacts are substantial, a combination that makes consumer scrutiny of visual sincerity both likely and meaningful. </w:t>
      </w:r>
      <w:r>
        <w:rPr>
          <w:rFonts w:ascii="Times New Roman" w:hAnsi="Times New Roman" w:eastAsia="Times New Roman" w:cs="Times New Roman"/>
          <w:sz w:val="24"/>
          <w:szCs w:val="24"/>
          <w:highlight w:val="yellow"/>
        </w:rPr>
        <w:t xml:space="preserve">On the basis of the reviewed evidence, the study advances four expectations: that perceived visual authenticity is negatively related to perceived greenwashing; that perceived visual authenticity is positively related to green trust; that green trust is positively, and perceived greenwashing negatively, related to purchase intention; and that green trust and greenwashing perception transmit part of the influence of visual authenticity onto purchase intention. </w:t>
      </w:r>
      <w:r>
        <w:rPr>
          <w:rFonts w:ascii="Times New Roman" w:hAnsi="Times New Roman" w:eastAsia="Times New Roman" w:cs="Times New Roman"/>
          <w:sz w:val="24"/>
          <w:szCs w:val="24"/>
        </w:rPr>
        <w:t>A stimulus-based survey, in which respondents view environmental advertisements adapted from sportswear campaigns before reporting their perceptions, provides an appropriate means of testing these relationships.</w:t>
      </w:r>
    </w:p>
    <w:p w14:paraId="3BD87DC8">
      <w:pPr>
        <w:pStyle w:val="3"/>
        <w:spacing w:before="260" w:after="140" w:line="360" w:lineRule="auto"/>
        <w:rPr>
          <w:rFonts w:hint="default" w:ascii="Times New Roman Bold" w:hAnsi="Times New Roman Bold" w:eastAsia="Times New Roman" w:cs="Times New Roman Bold"/>
          <w:b/>
          <w:bCs/>
          <w:color w:val="000000" w:themeColor="text1"/>
          <w:sz w:val="26"/>
          <w:szCs w:val="26"/>
          <w14:textFill>
            <w14:solidFill>
              <w14:schemeClr w14:val="tx1"/>
            </w14:solidFill>
          </w14:textFill>
        </w:rPr>
      </w:pPr>
      <w:r>
        <w:rPr>
          <w:rFonts w:hint="default" w:ascii="Times New Roman Bold" w:hAnsi="Times New Roman Bold" w:eastAsia="Times New Roman" w:cs="Times New Roman Bold"/>
          <w:b/>
          <w:bCs/>
          <w:color w:val="000000" w:themeColor="text1"/>
          <w:sz w:val="26"/>
          <w:szCs w:val="26"/>
          <w14:textFill>
            <w14:solidFill>
              <w14:schemeClr w14:val="tx1"/>
            </w14:solidFill>
          </w14:textFill>
        </w:rPr>
        <w:t>References</w:t>
      </w:r>
    </w:p>
    <w:p w14:paraId="43F99EFB">
      <w:pPr>
        <w:spacing w:after="120" w:line="360" w:lineRule="auto"/>
        <w:ind w:left="720" w:hanging="720"/>
        <w:jc w:val="left"/>
      </w:pPr>
      <w:r>
        <w:rPr>
          <w:rFonts w:ascii="Times New Roman" w:hAnsi="Times New Roman" w:eastAsia="Times New Roman" w:cs="Times New Roman"/>
          <w:sz w:val="24"/>
          <w:szCs w:val="24"/>
        </w:rPr>
        <w:t>Banerjee, S. B., Gulas, C. S., &amp; Iyer, E. (1995). Shades of green: A multidimensional analysis of environmental advertising. Journal of Advertising, 24(2), 21–31.</w:t>
      </w:r>
    </w:p>
    <w:p w14:paraId="16D0D6A1">
      <w:pPr>
        <w:spacing w:after="120" w:line="360" w:lineRule="auto"/>
        <w:ind w:left="720" w:hanging="720"/>
        <w:jc w:val="left"/>
      </w:pPr>
      <w:r>
        <w:rPr>
          <w:rFonts w:ascii="Times New Roman" w:hAnsi="Times New Roman" w:eastAsia="Times New Roman" w:cs="Times New Roman"/>
          <w:sz w:val="24"/>
          <w:szCs w:val="24"/>
        </w:rPr>
        <w:t>Barthes, R. (1972). Mythologies (A. Lavers, Trans.). Hill and Wang. (Original work published 1957)</w:t>
      </w:r>
    </w:p>
    <w:p w14:paraId="26D0C38D">
      <w:pPr>
        <w:spacing w:after="120" w:line="360" w:lineRule="auto"/>
        <w:ind w:left="720" w:hanging="720"/>
        <w:jc w:val="left"/>
      </w:pPr>
      <w:r>
        <w:rPr>
          <w:rFonts w:ascii="Times New Roman" w:hAnsi="Times New Roman" w:eastAsia="Times New Roman" w:cs="Times New Roman"/>
          <w:sz w:val="24"/>
          <w:szCs w:val="24"/>
        </w:rPr>
        <w:t>Beverland, M. B. (2005). Crafting brand authenticity: The case of luxury wines. Journal of Management Studies, 42(5), 1003–1029.</w:t>
      </w:r>
    </w:p>
    <w:p w14:paraId="7472389F">
      <w:pPr>
        <w:spacing w:after="120" w:line="360" w:lineRule="auto"/>
        <w:ind w:left="720" w:hanging="720"/>
        <w:jc w:val="left"/>
      </w:pPr>
      <w:r>
        <w:rPr>
          <w:rFonts w:ascii="Times New Roman" w:hAnsi="Times New Roman" w:eastAsia="Times New Roman" w:cs="Times New Roman"/>
          <w:sz w:val="24"/>
          <w:szCs w:val="24"/>
        </w:rPr>
        <w:t>Chen, Y.-S. (2010). The drivers of green brand equity: Green brand image, green satisfaction, and green trust. Journal of Business Ethics, 93(2), 307–319.</w:t>
      </w:r>
    </w:p>
    <w:p w14:paraId="1AF87C8C">
      <w:pPr>
        <w:spacing w:after="120" w:line="360" w:lineRule="auto"/>
        <w:ind w:left="720" w:hanging="720"/>
        <w:jc w:val="left"/>
      </w:pPr>
      <w:r>
        <w:rPr>
          <w:rFonts w:ascii="Times New Roman" w:hAnsi="Times New Roman" w:eastAsia="Times New Roman" w:cs="Times New Roman"/>
          <w:sz w:val="24"/>
          <w:szCs w:val="24"/>
        </w:rPr>
        <w:t>Chen, Y.-S., &amp; Chang, C.-H. (2013). Greenwash and green trust: The mediation effects of green consumer confusion and green perceived risk. Journal of Business Ethics, 114(3), 489–500.</w:t>
      </w:r>
    </w:p>
    <w:p w14:paraId="5CEEA03E">
      <w:pPr>
        <w:spacing w:after="120" w:line="360" w:lineRule="auto"/>
        <w:ind w:left="720" w:hanging="720"/>
        <w:jc w:val="left"/>
      </w:pPr>
      <w:r>
        <w:rPr>
          <w:rFonts w:ascii="Times New Roman" w:hAnsi="Times New Roman" w:eastAsia="Times New Roman" w:cs="Times New Roman"/>
          <w:sz w:val="24"/>
          <w:szCs w:val="24"/>
        </w:rPr>
        <w:t>Delmas, M. A., &amp; Burbano, V. C. (2011). The drivers of greenwashing. California Management Review, 54(1), 64–87.</w:t>
      </w:r>
    </w:p>
    <w:p w14:paraId="1B2D06E5">
      <w:pPr>
        <w:spacing w:after="120" w:line="360" w:lineRule="auto"/>
        <w:ind w:left="720" w:hanging="720"/>
        <w:jc w:val="left"/>
      </w:pPr>
      <w:r>
        <w:rPr>
          <w:rFonts w:ascii="Times New Roman" w:hAnsi="Times New Roman" w:eastAsia="Times New Roman" w:cs="Times New Roman"/>
          <w:sz w:val="24"/>
          <w:szCs w:val="24"/>
        </w:rPr>
        <w:t>Gilmore, J. H., &amp; Pine, B. J. (2007). Authenticity: What consumers really want. Harvard Business School Press.</w:t>
      </w:r>
    </w:p>
    <w:p w14:paraId="40E33D01">
      <w:pPr>
        <w:spacing w:after="120" w:line="360" w:lineRule="auto"/>
        <w:ind w:left="720" w:hanging="720"/>
        <w:jc w:val="left"/>
      </w:pPr>
      <w:r>
        <w:rPr>
          <w:rFonts w:ascii="Times New Roman" w:hAnsi="Times New Roman" w:eastAsia="Times New Roman" w:cs="Times New Roman"/>
          <w:sz w:val="24"/>
          <w:szCs w:val="24"/>
        </w:rPr>
        <w:t>Grayson, K., &amp; Martinec, R. (2004). Consumer perceptions of iconicity and indexicality and their influence on assessments of authentic market offerings. Journal of Consumer Research, 31(2), 296–312.</w:t>
      </w:r>
    </w:p>
    <w:p w14:paraId="01F4373A">
      <w:pPr>
        <w:spacing w:after="120" w:line="360" w:lineRule="auto"/>
        <w:ind w:left="720" w:hanging="720"/>
        <w:jc w:val="left"/>
      </w:pPr>
      <w:r>
        <w:rPr>
          <w:rFonts w:ascii="Times New Roman" w:hAnsi="Times New Roman" w:eastAsia="Times New Roman" w:cs="Times New Roman"/>
          <w:sz w:val="24"/>
          <w:szCs w:val="24"/>
        </w:rPr>
        <w:t>Hartmann, P., &amp; Apaolaza-Ibáñez, V. (2009). Green advertising revisited: Conditioning virtual nature experiences. International Journal of Advertising, 28(4), 715–739.</w:t>
      </w:r>
    </w:p>
    <w:p w14:paraId="49921A1D">
      <w:pPr>
        <w:spacing w:after="120" w:line="360" w:lineRule="auto"/>
        <w:ind w:left="720" w:hanging="720"/>
        <w:jc w:val="left"/>
      </w:pPr>
      <w:r>
        <w:rPr>
          <w:rFonts w:ascii="Times New Roman" w:hAnsi="Times New Roman" w:eastAsia="Times New Roman" w:cs="Times New Roman"/>
          <w:sz w:val="24"/>
          <w:szCs w:val="24"/>
        </w:rPr>
        <w:t>Hartmann, P., Apaolaza-Ibáñez, V., &amp; Forcada Sainz, F. J. (2005). Green branding effects on attitude: Functional versus emotional positioning strategies. Marketing Intelligence &amp; Planning, 23(1), 9–29.</w:t>
      </w:r>
    </w:p>
    <w:p w14:paraId="4A2FC00D">
      <w:pPr>
        <w:spacing w:after="120" w:line="360" w:lineRule="auto"/>
        <w:ind w:left="720" w:hanging="720"/>
        <w:jc w:val="left"/>
      </w:pPr>
      <w:r>
        <w:rPr>
          <w:rFonts w:ascii="Times New Roman" w:hAnsi="Times New Roman" w:eastAsia="Times New Roman" w:cs="Times New Roman"/>
          <w:sz w:val="24"/>
          <w:szCs w:val="24"/>
        </w:rPr>
        <w:t>Kress, G., &amp; van Leeuwen, T. (2006). Reading images: The grammar of visual design (2nd ed.). Routledge.</w:t>
      </w:r>
    </w:p>
    <w:p w14:paraId="1A9CF559">
      <w:pPr>
        <w:spacing w:after="120" w:line="360" w:lineRule="auto"/>
        <w:ind w:left="720" w:hanging="720"/>
        <w:jc w:val="left"/>
      </w:pPr>
      <w:r>
        <w:rPr>
          <w:rFonts w:ascii="Times New Roman" w:hAnsi="Times New Roman" w:eastAsia="Times New Roman" w:cs="Times New Roman"/>
          <w:sz w:val="24"/>
          <w:szCs w:val="24"/>
        </w:rPr>
        <w:t>Leonidou, C. N., &amp; Skarmeas, D. (2017). Gray shades of green: Causes and consequences of green skepticism. Journal of Business Ethics, 144(2), 401–415.</w:t>
      </w:r>
    </w:p>
    <w:p w14:paraId="54B4FA59">
      <w:pPr>
        <w:spacing w:after="120" w:line="360" w:lineRule="auto"/>
        <w:ind w:left="720" w:hanging="720"/>
        <w:jc w:val="left"/>
      </w:pPr>
      <w:r>
        <w:rPr>
          <w:rFonts w:ascii="Times New Roman" w:hAnsi="Times New Roman" w:eastAsia="Times New Roman" w:cs="Times New Roman"/>
          <w:sz w:val="24"/>
          <w:szCs w:val="24"/>
        </w:rPr>
        <w:t>Matthes, J., &amp; Wonneberger, A. (2014). The skeptical green consumer reconsidered: Testing the relationship between green consumerism and skepticism toward advertising. Journal of Advertising, 43(2), 115–127.</w:t>
      </w:r>
    </w:p>
    <w:p w14:paraId="65FE6056">
      <w:pPr>
        <w:spacing w:after="120" w:line="360" w:lineRule="auto"/>
        <w:ind w:left="720" w:hanging="720"/>
        <w:jc w:val="left"/>
      </w:pPr>
      <w:r>
        <w:rPr>
          <w:rFonts w:ascii="Times New Roman" w:hAnsi="Times New Roman" w:eastAsia="Times New Roman" w:cs="Times New Roman"/>
          <w:sz w:val="24"/>
          <w:szCs w:val="24"/>
        </w:rPr>
        <w:t>Morhart, F., Malär, L., Guèvremont, A., Girardin, F., &amp; Grohmann, B. (2015). Brand authenticity: An integrative framework and measurement scale. Journal of Consumer Psychology, 25(2), 200–218.</w:t>
      </w:r>
    </w:p>
    <w:p w14:paraId="12871EBB">
      <w:pPr>
        <w:spacing w:after="120" w:line="360" w:lineRule="auto"/>
        <w:ind w:left="720" w:hanging="720"/>
        <w:jc w:val="left"/>
      </w:pPr>
      <w:r>
        <w:rPr>
          <w:rFonts w:ascii="Times New Roman" w:hAnsi="Times New Roman" w:eastAsia="Times New Roman" w:cs="Times New Roman"/>
          <w:sz w:val="24"/>
          <w:szCs w:val="24"/>
        </w:rPr>
        <w:t>Napoli, J., Dickinson, S. J., Beverland, M. B., &amp; Farrelly, F. (2014). Measuring consumer-based brand authenticity. Journal of Business Research, 67(6), 1090–1098.</w:t>
      </w:r>
    </w:p>
    <w:p w14:paraId="34182760">
      <w:pPr>
        <w:spacing w:after="120" w:line="360" w:lineRule="auto"/>
        <w:ind w:left="720" w:hanging="720"/>
        <w:jc w:val="left"/>
      </w:pPr>
      <w:r>
        <w:rPr>
          <w:rFonts w:ascii="Times New Roman" w:hAnsi="Times New Roman" w:eastAsia="Times New Roman" w:cs="Times New Roman"/>
          <w:sz w:val="24"/>
          <w:szCs w:val="24"/>
        </w:rPr>
        <w:t>Parguel, B., Benoît-Moreau, F., &amp; Russell, C. A. (2015). Can evoking nature in advertising mislead consumers? The power of ‘executional greenwashing’. International Journal of Advertising, 34(1), 107–134.</w:t>
      </w:r>
    </w:p>
    <w:p w14:paraId="4C1480C7">
      <w:pPr>
        <w:spacing w:after="120" w:line="360" w:lineRule="auto"/>
        <w:ind w:left="720" w:hanging="720"/>
        <w:jc w:val="left"/>
      </w:pPr>
      <w:r>
        <w:rPr>
          <w:rFonts w:ascii="Times New Roman" w:hAnsi="Times New Roman" w:eastAsia="Times New Roman" w:cs="Times New Roman"/>
          <w:sz w:val="24"/>
          <w:szCs w:val="24"/>
        </w:rPr>
        <w:t>Rahman, S. U., &amp; Nguyen-Viet, B. (2023). Towards sustainable development: Coupling green marketing strategies and consumer perceptions in addressing greenwashing. Business Strategy and the Environment, 32(4), 2420–2433.</w:t>
      </w:r>
    </w:p>
    <w:p w14:paraId="208E0DB2">
      <w:pPr>
        <w:spacing w:after="120" w:line="360" w:lineRule="auto"/>
        <w:ind w:left="720" w:hanging="720"/>
        <w:jc w:val="left"/>
      </w:pPr>
      <w:r>
        <w:rPr>
          <w:rFonts w:ascii="Times New Roman" w:hAnsi="Times New Roman" w:eastAsia="Times New Roman" w:cs="Times New Roman"/>
          <w:sz w:val="24"/>
          <w:szCs w:val="24"/>
        </w:rPr>
        <w:t>Rahman, S. U., Nguyen-Viet, B., Bhatti, W. A., &amp; Salo, J. (2025). Greenwashing vs green branding: The role of non-deception and brand nature experiences in green brand trust formation. Asia-Pacific Journal of Business Administration. Advance online publication.</w:t>
      </w:r>
    </w:p>
    <w:p w14:paraId="78CA244C">
      <w:pPr>
        <w:spacing w:after="120" w:line="360" w:lineRule="auto"/>
        <w:ind w:left="720" w:hanging="720"/>
        <w:jc w:val="left"/>
      </w:pPr>
      <w:r>
        <w:rPr>
          <w:rFonts w:ascii="Times New Roman" w:hAnsi="Times New Roman" w:eastAsia="Times New Roman" w:cs="Times New Roman"/>
          <w:sz w:val="24"/>
          <w:szCs w:val="24"/>
        </w:rPr>
        <w:t>Szabo, S., &amp; Webster, J. (2021). Perceived greenwashing: The effects of green marketing on environmental and product perceptions. Journal of Business Ethics, 171(4), 719–739.</w:t>
      </w:r>
    </w:p>
    <w:p w14:paraId="3F087FA1">
      <w:pPr>
        <w:spacing w:after="120" w:line="360" w:lineRule="auto"/>
        <w:ind w:left="720" w:hanging="720"/>
        <w:jc w:val="left"/>
      </w:pPr>
      <w:r>
        <w:rPr>
          <w:rFonts w:ascii="Times New Roman" w:hAnsi="Times New Roman" w:eastAsia="Times New Roman" w:cs="Times New Roman"/>
          <w:sz w:val="24"/>
          <w:szCs w:val="24"/>
        </w:rPr>
        <w:t>Zhuang, W., Luo, X., &amp; Riaz, M. U. (2021). On the factors influencing green purchase intention: A meta-analysis approach. Frontiers in Psychology, 12, Article 644020.</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503050405090304"/>
    <w:charset w:val="00"/>
    <w:family w:val="auto"/>
    <w:pitch w:val="default"/>
    <w:sig w:usb0="00000000" w:usb1="00000000"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bordersDoNotSurroundHeader w:val="0"/>
  <w:bordersDoNotSurroundFooter w:val="0"/>
  <w:documentProtection w:enforcement="0"/>
  <w:displayHorizontalDrawingGridEvery w:val="1"/>
  <w:displayVerticalDrawingGridEvery w:val="1"/>
  <w:noPunctuationKerning w:val="1"/>
  <w:compat>
    <w:balanceSingleByteDoubleByteWidth/>
    <w:doNotExpandShiftReturn/>
    <w:adjustLineHeightInTable/>
    <w:doNotWrapTextWithPunct/>
    <w:doNotUseEastAsianBreakRules/>
    <w:useFELayout/>
    <w:compatSetting w:name="compatibilityMode" w:uri="http://schemas.microsoft.com/office/word" w:val="15"/>
  </w:compat>
  <w:rsids>
    <w:rsidRoot w:val="00000000"/>
    <w:rsid w:val="3BAA2346"/>
    <w:rsid w:val="3CC372BE"/>
    <w:rsid w:val="71AD6C8E"/>
    <w:rsid w:val="BFFE06AA"/>
    <w:rsid w:val="F7FEA139"/>
    <w:rsid w:val="F9BEDD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4"/>
      <w:szCs w:val="24"/>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13">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Times New Roman" w:hAnsi="Times New Roman" w:eastAsia="Times New Roman" w:cs="Times New Roman"/>
      <w:sz w:val="24"/>
      <w:szCs w:val="24"/>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3052</Words>
  <Characters>18378</Characters>
  <Lines>1</Lines>
  <Paragraphs>1</Paragraphs>
  <TotalTime>3565</TotalTime>
  <ScaleCrop>false</ScaleCrop>
  <LinksUpToDate>false</LinksUpToDate>
  <CharactersWithSpaces>21385</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2026-06-11T06:36:11Z</dcterms:created>
  <dc:creator>Un-named</dc:creator>
  <cp:lastModifiedBy>氵love灬羊</cp:lastModifiedBy>
  <dcterms:modified xsi:type="dcterms:W3CDTF">2026-06-11T07:18:41Z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C5098D2B131D486CB20EA3E259A5E5F8_13</vt:lpwstr>
  </property>
</Properties>
</file>