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I'm excited to apply for the Senior Director, Commercial and Market Access Analytics role at Inovalon. With over 15 years building analytics capabilities and leading client-facing teams, I bring the strategic leadership and business development expertise needed to establish Inovalon's CMAA practice. At my previous role, I built a 12-person analytics team from the ground up, developed our commercial analytics offering, and drove $8M+ in new business through proposal development and client presentations. My experience spans the full analytics lifecycle—from data strategy and advanced statistical modeling to client delivery and team leadership.</w:t>
      </w:r>
    </w:p>
    <w:p>
      <w:pPr>
        <w:spacing w:after="160" w:line="300" w:lineRule="exact"/>
      </w:pPr>
      <w:r>
        <w:rPr>
          <w:rFonts w:ascii="Calibri" w:hAnsi="Calibri"/>
          <w:color w:val="1A1A1A"/>
          <w:sz w:val="22"/>
        </w:rPr>
        <w:t>While my background is primarily in financial services analytics rather than healthcare, I've consistently demonstrated the ability to rapidly master new domains and build specialized capabilities. My technical foundation in SQL, Python, and data visualization, combined with proven success in business capture and client relationship management, positions me to quickly adapt to RWD methodologies and pharmaceutical commercialization processes. I'm particularly drawn to Inovalon's mission-driven culture and the opportunity to leverage AI and automation tools to accelerate insights generation in healthcare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