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09, 2026</w:t>
      </w:r>
    </w:p>
    <w:p>
      <w:pPr>
        <w:spacing w:after="160" w:line="300" w:lineRule="exact"/>
      </w:pPr>
      <w:r>
        <w:rPr>
          <w:rFonts w:ascii="Calibri" w:hAnsi="Calibri"/>
          <w:color w:val="1A1A1A"/>
          <w:sz w:val="22"/>
        </w:rPr>
        <w:t>Dear Hiring Manager,</w:t>
      </w:r>
    </w:p>
    <w:p>
      <w:pPr>
        <w:spacing w:after="160" w:line="300" w:lineRule="exact"/>
      </w:pPr>
      <w:r>
        <w:rPr>
          <w:rFonts w:ascii="Calibri" w:hAnsi="Calibri"/>
          <w:color w:val="1A1A1A"/>
          <w:sz w:val="22"/>
        </w:rPr>
        <w:t>I am writing to express my interest in the Senior Director, Enterprise Applications position at Mirion Technologies. With 25+ years of enterprise systems experience and current leadership of the Department of Veterans Affairs' $1B+ Financial Management Business Transformation (FMBT) program, I bring exactly the ERP expertise and transformation leadership you're seeking. My work designing data pipelines and integration architectures for VA's enterprise ERP rollout (iFAMS), combined with my previous role driving Howard University's multi-million-dollar Workday implementation during executive disruption, demonstrates my ability to deliver complex enterprise transformations in high-pressure environments.</w:t>
      </w:r>
    </w:p>
    <w:p>
      <w:pPr>
        <w:spacing w:after="160" w:line="300" w:lineRule="exact"/>
      </w:pPr>
      <w:r>
        <w:rPr>
          <w:rFonts w:ascii="Calibri" w:hAnsi="Calibri"/>
          <w:color w:val="1A1A1A"/>
          <w:sz w:val="22"/>
        </w:rPr>
        <w:t>My technical foundation spans the core platforms in your stack—ERP systems integration, enterprise data architectures, and cross-platform consolidation strategies—while my leadership experience includes coordinating across finance, IT, and business stakeholders to resolve system issues and meet delivery timelines. At Howard University, I served as one of three cross-functional drivers stabilizing a critical ERP deployment, establishing data governance frameworks, and building enterprise BI architectures that supported executive decision-making. This combination of hands-on technical expertise and strategic program leadership positions me well to define and execute Mirion's enterprise applications consolidation strategy while maintaining operational excellence across your global portfolio.</w:t>
      </w:r>
    </w:p>
    <w:p>
      <w:pPr>
        <w:spacing w:after="160" w:line="300" w:lineRule="exact"/>
      </w:pPr>
      <w:r>
        <w:rPr>
          <w:rFonts w:ascii="Calibri" w:hAnsi="Calibri"/>
          <w:color w:val="1A1A1A"/>
          <w:sz w:val="22"/>
        </w:rPr>
        <w:t>Sincerely, Salil Maniktahla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