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09, 2026</w:t>
      </w:r>
    </w:p>
    <w:p>
      <w:pPr>
        <w:spacing w:after="160" w:line="300" w:lineRule="exact"/>
      </w:pPr>
      <w:r>
        <w:rPr>
          <w:rFonts w:ascii="Calibri" w:hAnsi="Calibri"/>
          <w:color w:val="1A1A1A"/>
          <w:sz w:val="22"/>
        </w:rPr>
        <w:t>Dear BeOne Medicines Hiring Team,</w:t>
      </w:r>
    </w:p>
    <w:p>
      <w:pPr>
        <w:spacing w:after="160" w:line="300" w:lineRule="exact"/>
      </w:pPr>
      <w:r>
        <w:rPr>
          <w:rFonts w:ascii="Calibri" w:hAnsi="Calibri"/>
          <w:color w:val="1A1A1A"/>
          <w:sz w:val="22"/>
        </w:rPr>
        <w:t>Your Executive Director role presents a compelling challenge that resonates strongly with my experience leading technology transformations in complex, regulated environments. Having spent over 25 years architecting enterprise systems and leading cross-functional teams through major platform implementations, I understand the unique demands of delivering reliable technology services while maintaining strict compliance standards. At the Department of Veterans Affairs, I'm currently leading data architecture and reporting for their $2.6B Financial Management Business Transformation, where I've learned firsthand how critical seamless technology delivery is to organizational success—and how quickly technical issues can cascade across global operations.</w:t>
      </w:r>
    </w:p>
    <w:p>
      <w:pPr>
        <w:spacing w:after="160" w:line="300" w:lineRule="exact"/>
      </w:pPr>
      <w:r>
        <w:rPr>
          <w:rFonts w:ascii="Calibri" w:hAnsi="Calibri"/>
          <w:color w:val="1A1A1A"/>
          <w:sz w:val="22"/>
        </w:rPr>
        <w:t>My leadership experience directly aligns with BeOne's need to drive both operational excellence and strategic transformation. At Howard University, I served as one of three cross-functional leaders (Finance, HR, IT) driving a multi-million-dollar Workday ERP implementation during a period of executive disruption. When both the CIO and CFO departed mid-project, I helped stabilize delivery, resolve complex system integration challenges, and successfully deploy the platform. This experience taught me the importance of building resilient vendor relationships, establishing clear governance frameworks, and maintaining focus on end-user productivity during major transitions—capabilities that would serve BeOne well as you scale your global technology services.</w:t>
      </w:r>
    </w:p>
    <w:p>
      <w:pPr>
        <w:spacing w:after="160" w:line="300" w:lineRule="exact"/>
      </w:pPr>
      <w:r>
        <w:rPr>
          <w:rFonts w:ascii="Calibri" w:hAnsi="Calibri"/>
          <w:color w:val="1A1A1A"/>
          <w:sz w:val="22"/>
        </w:rPr>
        <w:t>The technical scope of this role—from Microsoft 365 administration to ServiceNow deployment and global helpdesk operations—leverages expertise I've developed across multiple enterprise environments. My hands-on approach to debugging complex integrations, combined with my experience coordinating across diverse stakeholder groups (finance, acquisition, IT), positions me to bridge the gap between strategic technology vision and day-to-day operational delivery. I'm particularly drawn to BeOne's mission-driven culture and the opportunity to apply proven technology leadership practices in the fight against cancer, where reliable systems and seamless user experiences directly impact the speed of life-saving innovation.</w:t>
      </w:r>
    </w:p>
    <w:p>
      <w:pPr>
        <w:spacing w:after="160" w:line="300" w:lineRule="exact"/>
      </w:pPr>
      <w:r>
        <w:rPr>
          <w:rFonts w:ascii="Calibri" w:hAnsi="Calibri"/>
          <w:color w:val="1A1A1A"/>
          <w:sz w:val="22"/>
        </w:rPr>
        <w:t>Sincerely, Salil Maniktahla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