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Your search for an AVP of Technology Strategy and Operations reflects a critical challenge many organizations face today: how to transform scattered technology initiatives into a unified, mission-driven strategy. My 25+ years architecting and leading complex technology transformations—from the VA's $1B+ FMBT program to Howard University's enterprise ERP implementation—have taught me that successful technology strategy requires both visionary roadmap development and hands-on operational execution.</w:t>
      </w:r>
    </w:p>
    <w:p>
      <w:pPr>
        <w:spacing w:after="160" w:line="300" w:lineRule="exact"/>
      </w:pPr>
      <w:r>
        <w:rPr>
          <w:rFonts w:ascii="Calibri" w:hAnsi="Calibri"/>
          <w:color w:val="1A1A1A"/>
          <w:sz w:val="22"/>
        </w:rPr>
        <w:t>At the Department of Veterans Affairs, I've spent three years leading data architecture and reporting workstreams for one of the largest federal ERP modernizations, directly experiencing the complexities of coordinating enterprise-wide technology programs across multiple stakeholders. This role required me to develop integrated technology solutions while managing cross-functional teams spanning Finance, IT, and Acquisition—precisely the type of coordination your AVP role demands. Similarly, at Howard University, I served as one of three key drivers (Finance, HR, IT) during a multi-million-dollar Workday implementation, helping stabilize delivery during executive disruption and driving the program to successful deployment. These experiences have shown me how critical it is to translate complex technical initiatives into clear executive communications while maintaining operational momentum.</w:t>
      </w:r>
    </w:p>
    <w:p>
      <w:pPr>
        <w:spacing w:after="160" w:line="300" w:lineRule="exact"/>
      </w:pPr>
      <w:r>
        <w:rPr>
          <w:rFonts w:ascii="Calibri" w:hAnsi="Calibri"/>
          <w:color w:val="1A1A1A"/>
          <w:sz w:val="22"/>
        </w:rPr>
        <w:t>What draws me to this opportunity is the mission-driven focus on community health and wellness—an environment where technology strategy must directly serve human outcomes. My background designing audit-ready data architectures, establishing governance frameworks, and building enterprise reporting systems positions me well to develop the unified technology roadmap and intake processes your organization needs. I understand that an AVP role requires moving beyond technical implementation to strategic orchestration, and my experience coordinating across diverse stakeholders while maintaining hands-on technical credibility would enable me to bridge the gap between visionary strategy and practical execution.</w:t>
      </w:r>
    </w:p>
    <w:p>
      <w:pPr>
        <w:spacing w:after="160" w:line="300" w:lineRule="exact"/>
      </w:pPr>
      <w:r>
        <w:rPr>
          <w:rFonts w:ascii="Calibri" w:hAnsi="Calibri"/>
          <w:color w:val="1A1A1A"/>
          <w:sz w:val="22"/>
        </w:rPr>
        <w:t>I'd welcome the opportunity to discuss how my experience transforming complex technology landscapes can contribute to your organization's mission-driven objectives.</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