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09, 2026</w:t>
      </w:r>
    </w:p>
    <w:p>
      <w:pPr>
        <w:spacing w:after="160" w:line="300" w:lineRule="exact"/>
      </w:pPr>
      <w:r>
        <w:rPr>
          <w:rFonts w:ascii="Calibri" w:hAnsi="Calibri"/>
          <w:color w:val="1A1A1A"/>
          <w:sz w:val="22"/>
        </w:rPr>
        <w:t>Dear Hiring Manager,</w:t>
      </w:r>
    </w:p>
    <w:p>
      <w:pPr>
        <w:spacing w:after="160" w:line="300" w:lineRule="exact"/>
      </w:pPr>
      <w:r>
        <w:rPr>
          <w:rFonts w:ascii="Calibri" w:hAnsi="Calibri"/>
          <w:color w:val="1A1A1A"/>
          <w:sz w:val="22"/>
        </w:rPr>
        <w:t>Having spent the past several years architecting and stabilizing enterprise systems through large-scale ERP transformations, I understand the complexity Mirion Technologies faces in consolidating and modernizing your global applications portfolio. Your need for a Senior Director who can balance strategic vision with operational excellence—particularly around ERP consolidation while maintaining business continuity—aligns directly with my experience leading similar initiatives at the Department of Veterans Affairs and Howard University.</w:t>
      </w:r>
    </w:p>
    <w:p>
      <w:pPr>
        <w:spacing w:after="160" w:line="300" w:lineRule="exact"/>
      </w:pPr>
      <w:r>
        <w:rPr>
          <w:rFonts w:ascii="Calibri" w:hAnsi="Calibri"/>
          <w:color w:val="1A1A1A"/>
          <w:sz w:val="22"/>
        </w:rPr>
        <w:t>At VA's FMBT program, I've been architecting the data and integration backbone for a massive ERP modernization (iFAMS), designing enterprise data pipelines that connect legacy financial systems with modern ERP platforms while ensuring audit-ready data quality. This work mirrors Mirion's challenge of sequencing global deployments while maintaining operational stability. Similarly, at Howard University, I helped stabilize a multi-million-dollar Workday implementation during executive disruption, stepping into a cross-functional leadership role to resolve system integration issues and drive the program to successful deployment. These experiences have taught me how to navigate the dual pressures of transformation and continuity that define enterprise applications leadership.</w:t>
      </w:r>
    </w:p>
    <w:p>
      <w:pPr>
        <w:spacing w:after="160" w:line="300" w:lineRule="exact"/>
      </w:pPr>
      <w:r>
        <w:rPr>
          <w:rFonts w:ascii="Calibri" w:hAnsi="Calibri"/>
          <w:color w:val="1A1A1A"/>
          <w:sz w:val="22"/>
        </w:rPr>
        <w:t>Your emphasis on architectural leadership particularly resonates with my approach to building resilient, integrated systems. I've designed end-to-end data architectures that span multiple platforms, established governance frameworks that improve data quality and compliance, and built the technical bridges between finance, operations, and IT teams that make enterprise transformations successful. My background spans the full spectrum—from hands-on debugging of complex integration challenges to presenting strategic recommendations to executive stakeholders—which positions me to drive both the immediate operational needs and long-term modernization vision Mirion requires.</w:t>
      </w:r>
    </w:p>
    <w:p>
      <w:pPr>
        <w:spacing w:after="160" w:line="300" w:lineRule="exact"/>
      </w:pPr>
      <w:r>
        <w:rPr>
          <w:rFonts w:ascii="Calibri" w:hAnsi="Calibri"/>
          <w:color w:val="1A1A1A"/>
          <w:sz w:val="22"/>
        </w:rPr>
        <w:t>I'm drawn to this opportunity because it combines strategic enterprise architecture with the operational discipline necessary to manage global, multi-platform environments. I'd welcome the chance to discuss how my experience leading ERP transformations and building high-performing technical teams can contribute to Mirion's enterprise applications strategy.</w:t>
      </w:r>
    </w:p>
    <w:p>
      <w:pPr>
        <w:spacing w:after="160" w:line="300" w:lineRule="exact"/>
      </w:pPr>
      <w:r>
        <w:rPr>
          <w:rFonts w:ascii="Calibri" w:hAnsi="Calibri"/>
          <w:color w:val="1A1A1A"/>
          <w:sz w:val="22"/>
        </w:rPr>
        <w:t>Sincerely, Salil Maniktahla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