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09, 2026</w:t>
      </w:r>
    </w:p>
    <w:p>
      <w:pPr>
        <w:spacing w:after="160" w:line="300" w:lineRule="exact"/>
      </w:pPr>
      <w:r>
        <w:rPr>
          <w:rFonts w:ascii="Calibri" w:hAnsi="Calibri"/>
          <w:color w:val="1A1A1A"/>
          <w:sz w:val="22"/>
        </w:rPr>
        <w:t>Dear Hiring Manager,</w:t>
      </w:r>
    </w:p>
    <w:p>
      <w:pPr>
        <w:spacing w:after="160" w:line="300" w:lineRule="exact"/>
      </w:pPr>
      <w:r>
        <w:rPr>
          <w:rFonts w:ascii="Calibri" w:hAnsi="Calibri"/>
          <w:color w:val="1A1A1A"/>
          <w:sz w:val="22"/>
        </w:rPr>
        <w:t>As organizations navigate increasingly complex technology landscapes, the challenge of aligning IT investments with strategic business outcomes while maintaining operational excellence has never been more critical. Your Senior Director role resonates strongly with challenges I've successfully addressed throughout my 25+ years leading technology initiatives across federal, enterprise, and consulting environments—particularly in establishing governance frameworks that enable both innovation and disciplined execution.</w:t>
      </w:r>
    </w:p>
    <w:p>
      <w:pPr>
        <w:spacing w:after="160" w:line="300" w:lineRule="exact"/>
      </w:pPr>
      <w:r>
        <w:rPr>
          <w:rFonts w:ascii="Calibri" w:hAnsi="Calibri"/>
          <w:color w:val="1A1A1A"/>
          <w:sz w:val="22"/>
        </w:rPr>
        <w:t>My experience leading the data architecture and reporting workstreams for the Department of Veterans Affairs' Financial Management Business Transformation program directly aligns with your need for enterprise-wide IT oversight. In this role, I've coordinated across finance, acquisition, and IT stakeholders to deliver complex ERP integrations while establishing data validation and reconciliation processes that improved audit readiness—experience that translates well to governing technology portfolios and ensuring value realization. Similarly, during Howard University's multi-million-dollar Workday ERP implementation, I stepped into a critical cross-functional leadership role during executive disruption, helping stabilize delivery and drive the program to successful deployment while establishing enterprise BI architecture and data governance policies that improved system reliability and decision-making capabilities.</w:t>
      </w:r>
    </w:p>
    <w:p>
      <w:pPr>
        <w:spacing w:after="160" w:line="300" w:lineRule="exact"/>
      </w:pPr>
      <w:r>
        <w:rPr>
          <w:rFonts w:ascii="Calibri" w:hAnsi="Calibri"/>
          <w:color w:val="1A1A1A"/>
          <w:sz w:val="22"/>
        </w:rPr>
        <w:t>What particularly draws me to this opportunity is the combination of strategic portfolio oversight with hands-on problem-solving. Whether designing resilient data pipelines, establishing governance frameworks during system transitions, or mentoring technical teams through complex delivery challenges, I've consistently bridged the gap between infrastructure complexity and business needs. My background spanning enterprise architecture, financial management, vendor optimization (including saving $312K annually through strategic vendor management at MicroStrategy), and cross-functional leadership positions me well to serve as the trusted advisor to your CIO while building the governance discipline and strategic partnerships that enable sustainable technology growth.</w:t>
      </w:r>
    </w:p>
    <w:p>
      <w:pPr>
        <w:spacing w:after="160" w:line="300" w:lineRule="exact"/>
      </w:pPr>
      <w:r>
        <w:rPr>
          <w:rFonts w:ascii="Calibri" w:hAnsi="Calibri"/>
          <w:color w:val="1A1A1A"/>
          <w:sz w:val="22"/>
        </w:rPr>
        <w:t>I would welcome the opportunity to discuss how my experience in establishing governance frameworks, managing complex technology initiatives, and driving organizational alignment can contribute to Mirion Technologies' strategic objectives.</w:t>
      </w:r>
    </w:p>
    <w:p>
      <w:pPr>
        <w:spacing w:after="160" w:line="300" w:lineRule="exact"/>
      </w:pPr>
      <w:r>
        <w:rPr>
          <w:rFonts w:ascii="Calibri" w:hAnsi="Calibri"/>
          <w:color w:val="1A1A1A"/>
          <w:sz w:val="22"/>
        </w:rPr>
        <w:t>Sincerely, Salil Maniktahla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