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09, 2026</w:t>
      </w:r>
    </w:p>
    <w:p>
      <w:pPr>
        <w:spacing w:after="160" w:line="300" w:lineRule="exact"/>
      </w:pPr>
      <w:r>
        <w:rPr>
          <w:rFonts w:ascii="Calibri" w:hAnsi="Calibri"/>
          <w:color w:val="1A1A1A"/>
          <w:sz w:val="22"/>
        </w:rPr>
        <w:t>Dear Hiring Manager,</w:t>
      </w:r>
    </w:p>
    <w:p>
      <w:pPr>
        <w:spacing w:after="160" w:line="300" w:lineRule="exact"/>
      </w:pPr>
      <w:r>
        <w:rPr>
          <w:rFonts w:ascii="Calibri" w:hAnsi="Calibri"/>
          <w:color w:val="1A1A1A"/>
          <w:sz w:val="22"/>
        </w:rPr>
        <w:t>Your search for a Director of IT Application Development &amp; Business Intelligence reflects the complex challenge many organizations face today: modernizing enterprise applications while delivering immediate business value. Having spent the last several years leading enterprise application transformations—including two major ERP implementations and the design of AI-enabled data platforms—I understand the delicate balance required to drive strategic modernization while maintaining operational stability.</w:t>
      </w:r>
    </w:p>
    <w:p>
      <w:pPr>
        <w:spacing w:after="160" w:line="300" w:lineRule="exact"/>
      </w:pPr>
      <w:r>
        <w:rPr>
          <w:rFonts w:ascii="Calibri" w:hAnsi="Calibri"/>
          <w:color w:val="1A1A1A"/>
          <w:sz w:val="22"/>
        </w:rPr>
        <w:t>At the Department of Veterans Affairs, I'm currently architecting the data and reporting backbone for their $2.6B Financial Management Business Transformation, integrating legacy systems with modern ERP platforms while ensuring audit-ready data quality. This mirrors your need to transition from heavily customized systems to configurable, modern platforms. Similarly, at Howard University, I helped stabilize and drive to completion a multi-million-dollar Workday implementation during executive disruption, serving as one of three cross-functional leaders bridging Finance, HR, and IT—experience that directly aligns with your emphasis on cross-functional partnership and stakeholder influence.</w:t>
      </w:r>
    </w:p>
    <w:p>
      <w:pPr>
        <w:spacing w:after="160" w:line="300" w:lineRule="exact"/>
      </w:pPr>
      <w:r>
        <w:rPr>
          <w:rFonts w:ascii="Calibri" w:hAnsi="Calibri"/>
          <w:color w:val="1A1A1A"/>
          <w:sz w:val="22"/>
        </w:rPr>
        <w:t>What particularly resonates is your focus on AI-driven insights and automation. I've recently designed and implemented an on-premises LLM/RAG platform for secure knowledge retrieval, combining my traditional strengths in data architecture with emerging AI capabilities. This hands-on experience with AI implementation, paired with my deep expertise in enterprise integrations and BI modernization, positions me well to help your organization navigate both the strategic vision and tactical execution of AI-enabled transformation initiatives.</w:t>
      </w:r>
    </w:p>
    <w:p>
      <w:pPr>
        <w:spacing w:after="160" w:line="300" w:lineRule="exact"/>
      </w:pPr>
      <w:r>
        <w:rPr>
          <w:rFonts w:ascii="Calibri" w:hAnsi="Calibri"/>
          <w:color w:val="1A1A1A"/>
          <w:sz w:val="22"/>
        </w:rPr>
        <w:t>I'm drawn to the opportunity to shape enterprise application strategy at the intersection of technology and business transformation. My background leading complex system integrations, managing cross-functional stakeholders, and delivering mission-critical platforms in high-stakes environments has prepared me to partner with your team in driving meaningful transformation while ensuring operational excellence.</w:t>
      </w:r>
    </w:p>
    <w:p>
      <w:pPr>
        <w:spacing w:after="160" w:line="300" w:lineRule="exact"/>
      </w:pPr>
      <w:r>
        <w:rPr>
          <w:rFonts w:ascii="Calibri" w:hAnsi="Calibri"/>
          <w:color w:val="1A1A1A"/>
          <w:sz w:val="22"/>
        </w:rPr>
        <w:t>Sincerely, Salil Maniktahla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