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color w:val="1A1A1A"/>
          <w:sz w:val="28"/>
        </w:rPr>
        <w:t>Salil Maniktahla</w:t>
      </w:r>
    </w:p>
    <w:p>
      <w:pPr>
        <w:spacing w:before="40" w:after="0"/>
      </w:pPr>
      <w:r>
        <w:rPr>
          <w:rFonts w:ascii="Calibri" w:hAnsi="Calibri"/>
          <w:color w:val="444444"/>
          <w:sz w:val="18"/>
        </w:rPr>
        <w:t>Springfield, VA  ·  571-215-8218  ·  salil.maniktahla@gmail.com</w:t>
      </w:r>
    </w:p>
    <w:p>
      <w:pPr>
        <w:spacing w:before="120" w:after="240"/>
        <w:pBdr>
          <w:bottom w:val="single" w:sz="4" w:space="3" w:color="2E5090"/>
        </w:pBdr>
      </w:pPr>
    </w:p>
    <w:p>
      <w:pPr>
        <w:spacing w:after="240"/>
      </w:pPr>
      <w:r>
        <w:rPr>
          <w:rFonts w:ascii="Calibri" w:hAnsi="Calibri"/>
          <w:color w:val="444444"/>
          <w:sz w:val="22"/>
        </w:rPr>
        <w:t>April 10, 2026</w:t>
      </w:r>
    </w:p>
    <w:p>
      <w:pPr>
        <w:spacing w:after="160" w:line="300" w:lineRule="exact"/>
      </w:pPr>
      <w:r>
        <w:rPr>
          <w:rFonts w:ascii="Calibri" w:hAnsi="Calibri"/>
          <w:color w:val="1A1A1A"/>
          <w:sz w:val="22"/>
        </w:rPr>
        <w:t>Dear Hiring Manager,</w:t>
      </w:r>
    </w:p>
    <w:p>
      <w:pPr>
        <w:spacing w:after="160" w:line="300" w:lineRule="exact"/>
      </w:pPr>
      <w:r>
        <w:rPr>
          <w:rFonts w:ascii="Calibri" w:hAnsi="Calibri"/>
          <w:color w:val="1A1A1A"/>
          <w:sz w:val="22"/>
        </w:rPr>
        <w:t>As a cybersecurity company scaling beyond $400M ARR, you're facing the classic challenge of maintaining productivity and collaboration while ensuring security and governance across your enterprise tools ecosystem. Having led similar transformations at large-scale organizations, I understand the complexity of building a cohesive enterprise tools strategy from the ground up—particularly when balancing rapid growth, security requirements, and the need to integrate AI capabilities responsibly.</w:t>
      </w:r>
    </w:p>
    <w:p>
      <w:pPr>
        <w:spacing w:after="160" w:line="300" w:lineRule="exact"/>
      </w:pPr>
      <w:r>
        <w:rPr>
          <w:rFonts w:ascii="Calibri" w:hAnsi="Calibri"/>
          <w:color w:val="1A1A1A"/>
          <w:sz w:val="22"/>
        </w:rPr>
        <w:t>My experience leading analytics and cross-functional initiatives at the VA's Financial Management Business Transformation program directly aligns with your need for someone who can establish governance frameworks and scale systems across complex organizations. There, I coordinated across finance, acquisition, and IT stakeholders while implementing enterprise-wide data pipelines and validation processes—work that required the same strategic thinking and cross-functional collaboration this role demands. Similarly, at Howard University, I served as one of three key drivers during a multi-million-dollar Workday ERP implementation, where I led data governance initiatives and worked directly with the Deputy CFO to design enterprise architecture that supported executive decision-making during a period of organizational change.</w:t>
      </w:r>
    </w:p>
    <w:p>
      <w:pPr>
        <w:spacing w:after="160" w:line="300" w:lineRule="exact"/>
      </w:pPr>
      <w:r>
        <w:rPr>
          <w:rFonts w:ascii="Calibri" w:hAnsi="Calibri"/>
          <w:color w:val="1A1A1A"/>
          <w:sz w:val="22"/>
        </w:rPr>
        <w:t>What particularly excites me about this opportunity is the focus on AI enablement and workflow automation. I've designed automation-driven systems that trigger operational actions via APIs and built integrated platforms combining data pipelines with event-driven automation—capabilities that would translate well to orchestrating your Slack, Google Workspace, and ChatGPT Enterprise ecosystem. My hands-on technical background in distributed systems, combined with 25+ years of translating complex requirements into scalable solutions, positions me well to establish the technical roadmap while building and mentoring the high-performing team you need.</w:t>
      </w:r>
    </w:p>
    <w:p>
      <w:pPr>
        <w:spacing w:after="160" w:line="300" w:lineRule="exact"/>
      </w:pPr>
      <w:r>
        <w:rPr>
          <w:rFonts w:ascii="Calibri" w:hAnsi="Calibri"/>
          <w:color w:val="1A1A1A"/>
          <w:sz w:val="22"/>
        </w:rPr>
        <w:t>The founding nature of this role resonates with my approach of remaining hands-on to accelerate delivery while developing team capabilities. I'm excited about the opportunity to build this function from the ground up and would welcome the chance to discuss how my experience scaling enterprise systems and leading cross-functional initiatives can help you create a secure, productive foundation for your continued growth.</w:t>
      </w:r>
    </w:p>
    <w:p>
      <w:pPr>
        <w:spacing w:after="160" w:line="300" w:lineRule="exact"/>
      </w:pPr>
      <w:r>
        <w:rPr>
          <w:rFonts w:ascii="Calibri" w:hAnsi="Calibri"/>
          <w:color w:val="1A1A1A"/>
          <w:sz w:val="22"/>
        </w:rPr>
        <w:t>Sincerely, Salil Maniktahla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