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09, 2026</w:t>
      </w:r>
    </w:p>
    <w:p>
      <w:pPr>
        <w:spacing w:after="160" w:line="300" w:lineRule="exact"/>
      </w:pPr>
      <w:r>
        <w:rPr>
          <w:rFonts w:ascii="Calibri" w:hAnsi="Calibri"/>
          <w:color w:val="1A1A1A"/>
          <w:sz w:val="22"/>
        </w:rPr>
        <w:t>Dear Hiring Manager,</w:t>
      </w:r>
    </w:p>
    <w:p>
      <w:pPr>
        <w:spacing w:after="160" w:line="300" w:lineRule="exact"/>
      </w:pPr>
      <w:r>
        <w:rPr>
          <w:rFonts w:ascii="Calibri" w:hAnsi="Calibri"/>
          <w:color w:val="1A1A1A"/>
          <w:sz w:val="22"/>
        </w:rPr>
        <w:t>My 25+ years leading enterprise applications transformations—including my current role architecting the Department of Veterans Affairs' $2B+ FMBT ERP modernization—positions me uniquely for your Senior Director role. I've spent the last three years designing and implementing data pipelines integrating legacy financial systems with enterprise ERP platforms, exactly the kind of complex, multi-system transformation leadership Mirion needs. At Howard University, I drove a multi-million-dollar Workday implementation as one of three cross-functional leaders during executive disruption, stabilizing delivery and ensuring successful deployment across Finance, HR, and IT stakeholders.</w:t>
      </w:r>
    </w:p>
    <w:p>
      <w:pPr>
        <w:spacing w:after="160" w:line="300" w:lineRule="exact"/>
      </w:pPr>
      <w:r>
        <w:rPr>
          <w:rFonts w:ascii="Calibri" w:hAnsi="Calibri"/>
          <w:color w:val="1A1A1A"/>
          <w:sz w:val="22"/>
        </w:rPr>
        <w:t>My expertise spans the full enterprise applications ecosystem you're modernizing. I've architected ERP integrations, built enterprise data warehouses, and established governance frameworks that improve audit readiness and operational efficiency. At VitalSpring, I delivered BI/analytics solutions that identified process bottlenecks and saved over $70K in six months. Earlier, I architected a 25,000-user enterprise reporting platform at Lowe's and delivered analytics solutions for Fortune 100 clients including Google and Yahoo. This combination of hands-on technical depth and executive-level strategy execution is precisely what's needed to lead global application consolidation while maintaining operational excellence.</w:t>
      </w:r>
    </w:p>
    <w:p>
      <w:pPr>
        <w:spacing w:after="160" w:line="300" w:lineRule="exact"/>
      </w:pPr>
      <w:r>
        <w:rPr>
          <w:rFonts w:ascii="Calibri" w:hAnsi="Calibri"/>
          <w:color w:val="1A1A1A"/>
          <w:sz w:val="22"/>
        </w:rPr>
        <w:t>What sets me apart is my ability to bridge technical architecture with business outcomes during high-pressure transformations. I've consistently stepped in to resolve complex integration challenges, debug performance issues, and coordinate across finance, acquisition, and IT stakeholders to meet critical delivery timelines. My track record includes building teams, mentoring engineers, and driving disciplined SDLC processes—the operational leadership capabilities essential for managing Director-level roles and global enterprise implementations.</w:t>
      </w:r>
    </w:p>
    <w:p>
      <w:pPr>
        <w:spacing w:after="160" w:line="300" w:lineRule="exact"/>
      </w:pPr>
      <w:r>
        <w:rPr>
          <w:rFonts w:ascii="Calibri" w:hAnsi="Calibri"/>
          <w:color w:val="1A1A1A"/>
          <w:sz w:val="22"/>
        </w:rPr>
        <w:t>I'm ready to shape Mirion's enterprise technology landscape and drive the measurable outcomes your transformation demands.</w:t>
      </w:r>
    </w:p>
    <w:p>
      <w:pPr>
        <w:spacing w:after="160" w:line="300" w:lineRule="exact"/>
      </w:pPr>
      <w:r>
        <w:rPr>
          <w:rFonts w:ascii="Calibri" w:hAnsi="Calibri"/>
          <w:color w:val="1A1A1A"/>
          <w:sz w:val="22"/>
        </w:rPr>
        <w:t>Sincerely, Salil Maniktahla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