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I am writing to express my interest in the Senior Director, Functional Applications &amp; IT Quality position at VB Spine. With 25+ years of hands-on experience leading enterprise applications and data architecture across regulated environments, I bring the exact combination of functional systems leadership and compliance rigor your medical device organization requires. My current role architecting data systems for the VA's $2.6B Financial Management Business Transformation demonstrates my ability to deliver mission-critical applications under strict regulatory oversight while partnering directly with finance, HR, and executive stakeholders.</w:t>
      </w:r>
    </w:p>
    <w:p>
      <w:pPr>
        <w:spacing w:after="160" w:line="300" w:lineRule="exact"/>
      </w:pPr>
      <w:r>
        <w:rPr>
          <w:rFonts w:ascii="Calibri" w:hAnsi="Calibri"/>
          <w:color w:val="1A1A1A"/>
          <w:sz w:val="22"/>
        </w:rPr>
        <w:t>My track record directly aligns with VB Spine's needs across all key domains. At Howard University, I served as one of three cross-functional drivers for a multi-million-dollar Workday ERP implementation, coordinating across Finance, HR, and IT during executive disruption to deliver enterprise systems supporting all corporate functions. I established comprehensive data governance policies, built enterprise BI architectures, and partnered with the Deputy CFO on analytics frameworks—experience that translates directly to your requirements for HR, Finance, and cross-functional application leadership. My current VA work involves integrating complex legacy systems with modern ERP platforms while maintaining audit readiness and data validation standards essential in regulated environments.</w:t>
      </w:r>
    </w:p>
    <w:p>
      <w:pPr>
        <w:spacing w:after="160" w:line="300" w:lineRule="exact"/>
      </w:pPr>
      <w:r>
        <w:rPr>
          <w:rFonts w:ascii="Calibri" w:hAnsi="Calibri"/>
          <w:color w:val="1A1A1A"/>
          <w:sz w:val="22"/>
        </w:rPr>
        <w:t>What sets me apart is my proven ability to bridge technical delivery with business outcomes under pressure. I've designed resilient data pipelines, led teams through system transitions, and consistently stepped in hands-on to resolve complex integration challenges. My CISSP certification and extensive government contracting experience demonstrate the security and compliance mindset crucial for medical device IT quality programs. At VitalSpring, I identified process bottlenecks through analytics that saved $70K+ in under six months—the type of operational efficiency improvement your corporate functions require.</w:t>
      </w:r>
    </w:p>
    <w:p>
      <w:pPr>
        <w:spacing w:after="160" w:line="300" w:lineRule="exact"/>
      </w:pPr>
      <w:r>
        <w:rPr>
          <w:rFonts w:ascii="Calibri" w:hAnsi="Calibri"/>
          <w:color w:val="1A1A1A"/>
          <w:sz w:val="22"/>
        </w:rPr>
        <w:t>I am confident my combination of enterprise application leadership, regulatory environment experience, and hands-on technical expertise positions me to establish VB Spine's IT Quality program while driving functional application strategy across your global portfolio. I would welcome the opportunity to discuss how my proven track record can support your mission of enabling life-changing spinal procedures.</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