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0"/>
        <w:jc w:val="left"/>
      </w:pPr>
      <w:r>
        <w:rPr>
          <w:rFonts w:ascii="Calibri" w:hAnsi="Calibri"/>
          <w:b/>
          <w:color w:val="1A1A1A"/>
          <w:sz w:val="28"/>
        </w:rPr>
        <w:t>Salil Maniktahla</w:t>
      </w:r>
    </w:p>
    <w:p>
      <w:pPr>
        <w:spacing w:before="40" w:after="0"/>
      </w:pPr>
      <w:r>
        <w:rPr>
          <w:rFonts w:ascii="Calibri" w:hAnsi="Calibri"/>
          <w:color w:val="444444"/>
          <w:sz w:val="18"/>
        </w:rPr>
        <w:t>Springfield, VA  ·  571-215-8218  ·  salil.maniktahla@gmail.com</w:t>
      </w:r>
    </w:p>
    <w:p>
      <w:pPr>
        <w:spacing w:before="120" w:after="240"/>
        <w:pBdr>
          <w:bottom w:val="single" w:sz="4" w:space="3" w:color="2E5090"/>
        </w:pBdr>
      </w:pPr>
    </w:p>
    <w:p>
      <w:pPr>
        <w:spacing w:after="240"/>
      </w:pPr>
      <w:r>
        <w:rPr>
          <w:rFonts w:ascii="Calibri" w:hAnsi="Calibri"/>
          <w:color w:val="444444"/>
          <w:sz w:val="22"/>
        </w:rPr>
        <w:t>April 09, 2026</w:t>
      </w:r>
    </w:p>
    <w:p>
      <w:pPr>
        <w:spacing w:after="160" w:line="300" w:lineRule="exact"/>
      </w:pPr>
      <w:r>
        <w:rPr>
          <w:rFonts w:ascii="Calibri" w:hAnsi="Calibri"/>
          <w:color w:val="1A1A1A"/>
          <w:sz w:val="22"/>
        </w:rPr>
        <w:t>Dear Hiring Manager,</w:t>
      </w:r>
    </w:p>
    <w:p>
      <w:pPr>
        <w:spacing w:after="160" w:line="300" w:lineRule="exact"/>
      </w:pPr>
      <w:r>
        <w:rPr>
          <w:rFonts w:ascii="Calibri" w:hAnsi="Calibri"/>
          <w:color w:val="1A1A1A"/>
          <w:sz w:val="22"/>
        </w:rPr>
        <w:t>As a hands-on data and platform leader with 25+ years architecting enterprise systems, I am uniquely positioned to drive your application development and business intelligence strategy forward. My current role leading data architecture for the Department of Veterans Affairs' $2.6B Financial Management Business Transformation—where I've designed enterprise data pipelines integrating legacy financial systems with modern ERP platforms—directly mirrors the modernization challenges you're facing. At Howard University, I served as one of three cross-functional leaders driving a multi-million-dollar Workday ERP implementation through executive disruption, ultimately stabilizing delivery and ensuring successful deployment. This experience managing high-stakes financial system transformations while coordinating across finance, IT, and operations stakeholders is exactly what this director role demands.</w:t>
      </w:r>
    </w:p>
    <w:p>
      <w:pPr>
        <w:spacing w:after="160" w:line="300" w:lineRule="exact"/>
      </w:pPr>
      <w:r>
        <w:rPr>
          <w:rFonts w:ascii="Calibri" w:hAnsi="Calibri"/>
          <w:color w:val="1A1A1A"/>
          <w:sz w:val="22"/>
        </w:rPr>
        <w:t>Your emphasis on AI-driven insights and automation aligns perfectly with my recent technical innovations. I've designed and deployed on-premises LLM/RAG platforms for secure knowledge retrieval, implementing role-based access controls and audit logging—capabilities that directly support your vision for AI-enabled enterprise technologies. My architectural approach bridges infrastructure, data, and business needs, evidenced by building containerized data environments, establishing data validation frameworks that improved audit readiness, and creating executive dashboards that support C-level decision-making. At VitalSpring Technologies, I delivered BI solutions that identified process bottlenecks and saved over $70K in under six months, demonstrating my ability to translate complex technical capabilities into measurable business value.</w:t>
      </w:r>
    </w:p>
    <w:p>
      <w:pPr>
        <w:spacing w:after="160" w:line="300" w:lineRule="exact"/>
      </w:pPr>
      <w:r>
        <w:rPr>
          <w:rFonts w:ascii="Calibri" w:hAnsi="Calibri"/>
          <w:color w:val="1A1A1A"/>
          <w:sz w:val="22"/>
        </w:rPr>
        <w:t>The cross-functional leadership this role requires is where I excel most. Whether coordinating VA's FMBT stakeholders across finance and acquisition teams, mentoring engineering teams through system transitions, or partnering with Deputy CFOs on analytics strategy, I consistently deliver results in ambiguous, high-pressure environments. My experience spans the full enterprise application lifecycle—from vendor evaluation and contract management to team development and governance frameworks. I don't just manage application portfolios; I architect resilient systems that scale, integrate disparate platforms under tight deadlines, and step in hands-on to resolve the complex technical challenges that derail lesser initiatives.</w:t>
      </w:r>
    </w:p>
    <w:p>
      <w:pPr>
        <w:spacing w:after="160" w:line="300" w:lineRule="exact"/>
      </w:pPr>
      <w:r>
        <w:rPr>
          <w:rFonts w:ascii="Calibri" w:hAnsi="Calibri"/>
          <w:color w:val="1A1A1A"/>
          <w:sz w:val="22"/>
        </w:rPr>
        <w:t>This director role represents the natural evolution of my career—combining strategic application leadership with the deep technical expertise and proven delivery track record your organization needs. I'm ready to shape your enterprise technology future and would welcome the opportunity to discuss how my experience driving large-scale financial system modernizations can accelerate your transformation goals.</w:t>
      </w:r>
    </w:p>
    <w:p>
      <w:pPr>
        <w:spacing w:after="160" w:line="300" w:lineRule="exact"/>
      </w:pPr>
      <w:r>
        <w:rPr>
          <w:rFonts w:ascii="Calibri" w:hAnsi="Calibri"/>
          <w:color w:val="1A1A1A"/>
          <w:sz w:val="22"/>
        </w:rPr>
        <w:t>Sincerely, Salil Maniktahla</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color w:val="1A1A1A"/>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