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As a hands-on technology leader with 25+ years building and scaling enterprise systems, I'm uniquely positioned to establish your Enterprise Tools function from the ground up. My experience leading cross-functional teams through complex ERP implementations—most recently at the VA's $1.2B Financial Management Business Transformation program and Howard University's multi-million-dollar Workday deployment—directly aligns with your need for someone who can set strategy, build teams, and deliver enterprise-scale technology initiatives.</w:t>
      </w:r>
    </w:p>
    <w:p>
      <w:pPr>
        <w:spacing w:after="160" w:line="300" w:lineRule="exact"/>
      </w:pPr>
      <w:r>
        <w:rPr>
          <w:rFonts w:ascii="Calibri" w:hAnsi="Calibri"/>
          <w:color w:val="1A1A1A"/>
          <w:sz w:val="22"/>
        </w:rPr>
        <w:t>I've consistently transformed technical organizations by establishing governance frameworks, driving vendor relationships, and building scalable operational foundations. At Howard University, I served as one of three cross-functional drivers during executive disruption, leading data governance initiatives and enterprise BI architecture while collaborating directly with the Deputy CFO. Similarly, at the VA, I coordinate across finance, IT, and acquisition stakeholders to resolve complex integration challenges and meet critical release timelines. This experience translating between technical and business stakeholders while managing complex vendor ecosystems positions me well to oversee your collaboration platform strategy and AI enablement initiatives.</w:t>
      </w:r>
    </w:p>
    <w:p>
      <w:pPr>
        <w:spacing w:after="160" w:line="300" w:lineRule="exact"/>
      </w:pPr>
      <w:r>
        <w:rPr>
          <w:rFonts w:ascii="Calibri" w:hAnsi="Calibri"/>
          <w:color w:val="1A1A1A"/>
          <w:sz w:val="22"/>
        </w:rPr>
        <w:t>Your emphasis on building a center of excellence for workflow automation particularly resonates with my background designing integrated systems and automation-driven solutions. I've built enterprise reporting layers bridging multiple complex systems, implemented data pipelines that improved organizational trust in technology outputs, and designed platforms that trigger operational workflows via APIs. My approach of remaining hands-on while scaling teams—evidenced by mentoring engineers, leading Agile delivery processes, and personally resolving technical challenges—aligns with your need for a founding manager who can establish both technical excellence and team culture.</w:t>
      </w:r>
    </w:p>
    <w:p>
      <w:pPr>
        <w:spacing w:after="160" w:line="300" w:lineRule="exact"/>
      </w:pPr>
      <w:r>
        <w:rPr>
          <w:rFonts w:ascii="Calibri" w:hAnsi="Calibri"/>
          <w:color w:val="1A1A1A"/>
          <w:sz w:val="22"/>
        </w:rPr>
        <w:t>The opportunity to shape enterprise tools strategy at a $400M ARR cybersecurity leader, particularly around AI integration and cross-system automation, represents the perfect intersection of my technical depth and leadership experience. I'm ready to build this function into the strategic technology enabler your organization needs.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