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30" w:after="0"/>
        <w:jc w:val="center"/>
      </w:pPr>
      <w:r>
        <w:rPr>
          <w:rFonts w:ascii="Calibri" w:hAnsi="Calibri"/>
          <w:color w:val="444444"/>
          <w:sz w:val="17"/>
        </w:rPr>
        <w:t>Springfield, VA  ·  571-215-8218  ·  salil.maniktahla@gmail.com  ·  linkedin.com/in/salilmaniktahla</w:t>
      </w:r>
    </w:p>
    <w:p>
      <w:pPr>
        <w:spacing w:before="220" w:after="60"/>
        <w:pBdr>
          <w:bottom w:val="single" w:sz="4" w:space="3" w:color="2E5090"/>
        </w:pBdr>
      </w:pPr>
      <w:r>
        <w:rPr>
          <w:rFonts w:ascii="Calibri" w:hAnsi="Calibri"/>
          <w:b/>
          <w:color w:val="2E5090"/>
          <w:sz w:val="21"/>
        </w:rPr>
        <w:t>SUMMARY</w:t>
      </w:r>
    </w:p>
    <w:p>
      <w:pPr>
        <w:spacing w:before="30" w:after="30"/>
      </w:pPr>
      <w:r>
        <w:rPr>
          <w:rFonts w:ascii="Calibri" w:hAnsi="Calibri"/>
          <w:b w:val="0"/>
          <w:i w:val="0"/>
          <w:color w:val="1A1A1A"/>
          <w:sz w:val="19"/>
        </w:rPr>
        <w:t>Senior technology executive with 25+ years of experience leading global technology service delivery, enterprise platform management, and strategic technology initiatives. Currently directing data architecture and technology integration for the Department of Veterans Affairs' enterprise transformation program, with deep expertise in Microsoft 365, Azure, ServiceNow, and enterprise technology governance across complex, regulated environments.</w:t>
      </w:r>
    </w:p>
    <w:p>
      <w:pPr>
        <w:spacing w:before="30" w:after="30"/>
      </w:pPr>
      <w:r>
        <w:rPr>
          <w:rFonts w:ascii="Calibri" w:hAnsi="Calibri"/>
          <w:b w:val="0"/>
          <w:i w:val="0"/>
          <w:color w:val="1A1A1A"/>
          <w:sz w:val="19"/>
        </w:rPr>
        <w:t>Proven track record of building and leading high-performing global teams, driving digital transformation initiatives, and delivering operational excellence in technology service delivery. Experienced in managing enterprise collaboration platforms, end-user computing services, and IT service management across multi-site operations while ensuring compliance, performance optimization, and strategic vendor partnerships.</w:t>
      </w:r>
    </w:p>
    <w:p>
      <w:pPr>
        <w:spacing w:before="220" w:after="60"/>
        <w:pBdr>
          <w:bottom w:val="single" w:sz="4" w:space="3" w:color="2E5090"/>
        </w:pBdr>
      </w:pPr>
      <w:r>
        <w:rPr>
          <w:rFonts w:ascii="Calibri" w:hAnsi="Calibri"/>
          <w:b/>
          <w:color w:val="2E5090"/>
          <w:sz w:val="21"/>
        </w:rPr>
        <w:t>CORE CAPABILITIES</w:t>
      </w:r>
    </w:p>
    <w:p>
      <w:pPr>
        <w:spacing w:before="30" w:after="30"/>
      </w:pPr>
      <w:r>
        <w:rPr>
          <w:rFonts w:ascii="Calibri" w:hAnsi="Calibri"/>
          <w:b w:val="0"/>
          <w:i w:val="0"/>
          <w:color w:val="1A1A1A"/>
          <w:sz w:val="19"/>
        </w:rPr>
        <w:t>Technology Service Delivery Leadership</w:t>
      </w:r>
    </w:p>
    <w:p>
      <w:pPr>
        <w:pStyle w:val="ListBullet"/>
        <w:spacing w:before="10" w:after="10"/>
      </w:pPr>
      <w:r>
        <w:rPr>
          <w:rFonts w:ascii="Calibri" w:hAnsi="Calibri"/>
          <w:color w:val="1A1A1A"/>
          <w:sz w:val="19"/>
        </w:rPr>
        <w:t>Global technology platform oversight including Microsoft 365, Azure, enterprise collaboration tools</w:t>
      </w:r>
    </w:p>
    <w:p>
      <w:pPr>
        <w:pStyle w:val="ListBullet"/>
        <w:spacing w:before="10" w:after="10"/>
      </w:pPr>
      <w:r>
        <w:rPr>
          <w:rFonts w:ascii="Calibri" w:hAnsi="Calibri"/>
          <w:color w:val="1A1A1A"/>
          <w:sz w:val="19"/>
        </w:rPr>
        <w:t>End-user computing services, helpdesk operations, and site support management</w:t>
      </w:r>
    </w:p>
    <w:p>
      <w:pPr>
        <w:pStyle w:val="ListBullet"/>
        <w:spacing w:before="10" w:after="10"/>
      </w:pPr>
      <w:r>
        <w:rPr>
          <w:rFonts w:ascii="Calibri" w:hAnsi="Calibri"/>
          <w:color w:val="1A1A1A"/>
          <w:sz w:val="19"/>
        </w:rPr>
        <w:t>IT Service Management (ITSM) processes, platforms, and continuous improvement initiatives</w:t>
      </w:r>
    </w:p>
    <w:p>
      <w:pPr>
        <w:spacing w:before="30" w:after="30"/>
      </w:pPr>
      <w:r>
        <w:rPr>
          <w:rFonts w:ascii="Calibri" w:hAnsi="Calibri"/>
          <w:b w:val="0"/>
          <w:i w:val="0"/>
          <w:color w:val="1A1A1A"/>
          <w:sz w:val="19"/>
        </w:rPr>
        <w:t>Strategic Technology Governance</w:t>
      </w:r>
    </w:p>
    <w:p>
      <w:pPr>
        <w:pStyle w:val="ListBullet"/>
        <w:spacing w:before="10" w:after="10"/>
      </w:pPr>
      <w:r>
        <w:rPr>
          <w:rFonts w:ascii="Calibri" w:hAnsi="Calibri"/>
          <w:color w:val="1A1A1A"/>
          <w:sz w:val="19"/>
        </w:rPr>
        <w:t>Technology strategy development aligned with business objectives and regulatory requirements</w:t>
      </w:r>
    </w:p>
    <w:p>
      <w:pPr>
        <w:pStyle w:val="ListBullet"/>
        <w:spacing w:before="10" w:after="10"/>
      </w:pPr>
      <w:r>
        <w:rPr>
          <w:rFonts w:ascii="Calibri" w:hAnsi="Calibri"/>
          <w:color w:val="1A1A1A"/>
          <w:sz w:val="19"/>
        </w:rPr>
        <w:t>Governance frameworks ensuring compliance with data privacy, security standards, and audit requirements</w:t>
      </w:r>
    </w:p>
    <w:p>
      <w:pPr>
        <w:pStyle w:val="ListBullet"/>
        <w:spacing w:before="10" w:after="10"/>
      </w:pPr>
      <w:r>
        <w:rPr>
          <w:rFonts w:ascii="Calibri" w:hAnsi="Calibri"/>
          <w:color w:val="1A1A1A"/>
          <w:sz w:val="19"/>
        </w:rPr>
        <w:t>Vendor management and strategic partnerships for service delivery optimization</w:t>
      </w:r>
    </w:p>
    <w:p>
      <w:pPr>
        <w:spacing w:before="30" w:after="30"/>
      </w:pPr>
      <w:r>
        <w:rPr>
          <w:rFonts w:ascii="Calibri" w:hAnsi="Calibri"/>
          <w:b w:val="0"/>
          <w:i w:val="0"/>
          <w:color w:val="1A1A1A"/>
          <w:sz w:val="19"/>
        </w:rPr>
        <w:t>Team Leadership &amp; Operations</w:t>
      </w:r>
    </w:p>
    <w:p>
      <w:pPr>
        <w:pStyle w:val="ListBullet"/>
        <w:spacing w:before="10" w:after="10"/>
      </w:pPr>
      <w:r>
        <w:rPr>
          <w:rFonts w:ascii="Calibri" w:hAnsi="Calibri"/>
          <w:color w:val="1A1A1A"/>
          <w:sz w:val="19"/>
        </w:rPr>
        <w:t>Cross-functional technical leadership and global team management</w:t>
      </w:r>
    </w:p>
    <w:p>
      <w:pPr>
        <w:pStyle w:val="ListBullet"/>
        <w:spacing w:before="10" w:after="10"/>
      </w:pPr>
      <w:r>
        <w:rPr>
          <w:rFonts w:ascii="Calibri" w:hAnsi="Calibri"/>
          <w:color w:val="1A1A1A"/>
          <w:sz w:val="19"/>
        </w:rPr>
        <w:t>Stakeholder management across Finance, IT, and business operations</w:t>
      </w:r>
    </w:p>
    <w:p>
      <w:pPr>
        <w:pStyle w:val="ListBullet"/>
        <w:spacing w:before="10" w:after="10"/>
      </w:pPr>
      <w:r>
        <w:rPr>
          <w:rFonts w:ascii="Calibri" w:hAnsi="Calibri"/>
          <w:color w:val="1A1A1A"/>
          <w:sz w:val="19"/>
        </w:rPr>
        <w:t>Performance monitoring, KPI development, and service level management</w:t>
      </w:r>
    </w:p>
    <w:p>
      <w:pPr>
        <w:spacing w:before="30" w:after="30"/>
      </w:pPr>
      <w:r>
        <w:rPr>
          <w:rFonts w:ascii="Calibri" w:hAnsi="Calibri"/>
          <w:b w:val="0"/>
          <w:i w:val="0"/>
          <w:color w:val="1A1A1A"/>
          <w:sz w:val="19"/>
        </w:rPr>
        <w:t>Enterprise Platform Integration</w:t>
      </w:r>
    </w:p>
    <w:p>
      <w:pPr>
        <w:pStyle w:val="ListBullet"/>
        <w:spacing w:before="10" w:after="10"/>
      </w:pPr>
      <w:r>
        <w:rPr>
          <w:rFonts w:ascii="Calibri" w:hAnsi="Calibri"/>
          <w:color w:val="1A1A1A"/>
          <w:sz w:val="19"/>
        </w:rPr>
        <w:t>ERP system integration, data pipelines, and enterprise architecture</w:t>
      </w:r>
    </w:p>
    <w:p>
      <w:pPr>
        <w:pStyle w:val="ListBullet"/>
        <w:spacing w:before="10" w:after="10"/>
      </w:pPr>
      <w:r>
        <w:rPr>
          <w:rFonts w:ascii="Calibri" w:hAnsi="Calibri"/>
          <w:color w:val="1A1A1A"/>
          <w:sz w:val="19"/>
        </w:rPr>
        <w:t>System reliability, monitoring, and incident management</w:t>
      </w:r>
    </w:p>
    <w:p>
      <w:pPr>
        <w:pStyle w:val="ListBullet"/>
        <w:spacing w:before="10" w:after="10"/>
      </w:pPr>
      <w:r>
        <w:rPr>
          <w:rFonts w:ascii="Calibri" w:hAnsi="Calibri"/>
          <w:color w:val="1A1A1A"/>
          <w:sz w:val="19"/>
        </w:rPr>
        <w:t>Digital transformation and technology modernization initiatives</w:t>
      </w:r>
    </w:p>
    <w:p>
      <w:pPr>
        <w:spacing w:before="220" w:after="60"/>
        <w:pBdr>
          <w:bottom w:val="single" w:sz="4" w:space="3" w:color="2E5090"/>
        </w:pBdr>
      </w:pPr>
      <w:r>
        <w:rPr>
          <w:rFonts w:ascii="Calibri" w:hAnsi="Calibri"/>
          <w:b/>
          <w:color w:val="2E5090"/>
          <w:sz w:val="21"/>
        </w:rPr>
        <w:t>PROFESSIONAL EXPERIENCE</w:t>
      </w:r>
    </w:p>
    <w:p>
      <w:pPr>
        <w:spacing w:before="30" w:after="30"/>
      </w:pPr>
      <w:r>
        <w:rPr>
          <w:rFonts w:ascii="Calibri" w:hAnsi="Calibri"/>
          <w:b/>
          <w:i w:val="0"/>
          <w:color w:val="1A1A1A"/>
          <w:sz w:val="19"/>
        </w:rPr>
        <w:t>Senior Data &amp; Analytics Architect (Contractor)</w:t>
      </w:r>
    </w:p>
    <w:p>
      <w:pPr>
        <w:spacing w:before="30" w:after="30"/>
      </w:pPr>
      <w:r>
        <w:rPr>
          <w:rFonts w:ascii="Calibri" w:hAnsi="Calibri"/>
          <w:b w:val="0"/>
          <w:i w:val="0"/>
          <w:color w:val="1A1A1A"/>
          <w:sz w:val="19"/>
        </w:rPr>
        <w:t>U.S. Department of Veterans Affairs – FMBT</w:t>
        <w:tab/>
        <w:t>Sep 2021 – Present</w:t>
      </w:r>
    </w:p>
    <w:p>
      <w:pPr>
        <w:pStyle w:val="ListBullet"/>
        <w:spacing w:before="10" w:after="10"/>
      </w:pPr>
      <w:r>
        <w:rPr>
          <w:rFonts w:ascii="Calibri" w:hAnsi="Calibri"/>
          <w:color w:val="1A1A1A"/>
          <w:sz w:val="19"/>
        </w:rPr>
        <w:t>Lead technology integration and service delivery workstreams supporting VA's enterprise transformation program across multiple business units and geographic regions</w:t>
      </w:r>
    </w:p>
    <w:p>
      <w:pPr>
        <w:pStyle w:val="ListBullet"/>
        <w:spacing w:before="10" w:after="10"/>
      </w:pPr>
      <w:r>
        <w:rPr>
          <w:rFonts w:ascii="Calibri" w:hAnsi="Calibri"/>
          <w:color w:val="1A1A1A"/>
          <w:sz w:val="19"/>
        </w:rPr>
        <w:t>Oversee enterprise platform integration including ERP systems, data services, and reporting infrastructure serving thousands of end-users</w:t>
      </w:r>
    </w:p>
    <w:p>
      <w:pPr>
        <w:pStyle w:val="ListBullet"/>
        <w:spacing w:before="10" w:after="10"/>
      </w:pPr>
      <w:r>
        <w:rPr>
          <w:rFonts w:ascii="Calibri" w:hAnsi="Calibri"/>
          <w:color w:val="1A1A1A"/>
          <w:sz w:val="19"/>
        </w:rPr>
        <w:t>Establish governance frameworks and compliance processes ensuring data quality, audit readiness, and regulatory adherence</w:t>
      </w:r>
    </w:p>
    <w:p>
      <w:pPr>
        <w:pStyle w:val="ListBullet"/>
        <w:spacing w:before="10" w:after="10"/>
      </w:pPr>
      <w:r>
        <w:rPr>
          <w:rFonts w:ascii="Calibri" w:hAnsi="Calibri"/>
          <w:color w:val="1A1A1A"/>
          <w:sz w:val="19"/>
        </w:rPr>
        <w:t>Coordinate across finance, acquisition, and IT stakeholders to resolve system issues, optimize service delivery, and meet organizational objectives</w:t>
      </w:r>
    </w:p>
    <w:p>
      <w:pPr>
        <w:pStyle w:val="ListBullet"/>
        <w:spacing w:before="10" w:after="10"/>
      </w:pPr>
      <w:r>
        <w:rPr>
          <w:rFonts w:ascii="Calibri" w:hAnsi="Calibri"/>
          <w:color w:val="1A1A1A"/>
          <w:sz w:val="19"/>
        </w:rPr>
        <w:t>Provide hands-on technical leadership in system integration challenges, performance optimization, and service continuity</w:t>
      </w:r>
    </w:p>
    <w:p>
      <w:pPr>
        <w:pStyle w:val="ListBullet"/>
        <w:spacing w:before="10" w:after="10"/>
      </w:pPr>
      <w:r>
        <w:rPr>
          <w:rFonts w:ascii="Calibri" w:hAnsi="Calibri"/>
          <w:color w:val="1A1A1A"/>
          <w:sz w:val="19"/>
        </w:rPr>
        <w:t>Drive vendor coordination and platform management to ensure seamless technology service delivery</w:t>
      </w:r>
    </w:p>
    <w:p>
      <w:pPr>
        <w:spacing w:before="160" w:after="0"/>
      </w:pPr>
      <w:r>
        <w:rPr>
          <w:rFonts w:ascii="Calibri" w:hAnsi="Calibri"/>
          <w:b/>
          <w:color w:val="1A1A1A"/>
          <w:sz w:val="21"/>
        </w:rPr>
        <w:t>Business Intelligence Analyst – Finance</w:t>
      </w:r>
    </w:p>
    <w:p>
      <w:pPr>
        <w:spacing w:before="10" w:after="40"/>
        <w:tabs>
          <w:tab w:val="right" w:pos="10440"/>
        </w:tabs>
      </w:pPr>
      <w:r>
        <w:rPr>
          <w:rFonts w:ascii="Calibri" w:hAnsi="Calibri"/>
          <w:i/>
          <w:color w:val="444444"/>
          <w:sz w:val="19"/>
        </w:rPr>
        <w:t>Howard University</w:t>
      </w:r>
      <w:r>
        <w:rPr>
          <w:rFonts w:ascii="Calibri" w:hAnsi="Calibri"/>
        </w:rPr>
        <w:tab/>
      </w:r>
      <w:r>
        <w:rPr>
          <w:rFonts w:ascii="Calibri" w:hAnsi="Calibri"/>
          <w:color w:val="444444"/>
          <w:sz w:val="19"/>
        </w:rPr>
        <w:t>Apr 2020 – Jul 2024</w:t>
      </w:r>
    </w:p>
    <w:p>
      <w:pPr>
        <w:pStyle w:val="ListBullet"/>
        <w:spacing w:before="10" w:after="10"/>
      </w:pPr>
      <w:r>
        <w:rPr>
          <w:rFonts w:ascii="Calibri" w:hAnsi="Calibri"/>
          <w:color w:val="1A1A1A"/>
          <w:sz w:val="19"/>
        </w:rPr>
        <w:t>Served as key technology leader in multi-million-dollar Workday enterprise platform implementation, providing strategic oversight during executive transitions and organizational change</w:t>
      </w:r>
    </w:p>
    <w:p>
      <w:pPr>
        <w:pStyle w:val="ListBullet"/>
        <w:spacing w:before="10" w:after="10"/>
      </w:pPr>
      <w:r>
        <w:rPr>
          <w:rFonts w:ascii="Calibri" w:hAnsi="Calibri"/>
          <w:color w:val="1A1A1A"/>
          <w:sz w:val="19"/>
        </w:rPr>
        <w:t>Led cross-functional technology delivery teams across Finance, HR, and IT divisions to drive successful platform deployment and user adoption</w:t>
      </w:r>
    </w:p>
    <w:p>
      <w:pPr>
        <w:pStyle w:val="ListBullet"/>
        <w:spacing w:before="10" w:after="10"/>
      </w:pPr>
      <w:r>
        <w:rPr>
          <w:rFonts w:ascii="Calibri" w:hAnsi="Calibri"/>
          <w:color w:val="1A1A1A"/>
          <w:sz w:val="19"/>
        </w:rPr>
        <w:t>Established enterprise data governance frameworks and technology service standards improving system reliability and user experience</w:t>
      </w:r>
    </w:p>
    <w:p>
      <w:pPr>
        <w:pStyle w:val="ListBullet"/>
        <w:spacing w:before="10" w:after="10"/>
      </w:pPr>
      <w:r>
        <w:rPr>
          <w:rFonts w:ascii="Calibri" w:hAnsi="Calibri"/>
          <w:color w:val="1A1A1A"/>
          <w:sz w:val="19"/>
        </w:rPr>
        <w:t>Collaborated directly with C-level executives on technology strategy, platform optimization, and operational performance</w:t>
      </w:r>
    </w:p>
    <w:p>
      <w:pPr>
        <w:pStyle w:val="ListBullet"/>
        <w:spacing w:before="10" w:after="10"/>
      </w:pPr>
      <w:r>
        <w:rPr>
          <w:rFonts w:ascii="Calibri" w:hAnsi="Calibri"/>
          <w:color w:val="1A1A1A"/>
          <w:sz w:val="19"/>
        </w:rPr>
        <w:t>Designed and implemented enterprise technology architecture supporting university-wide operations and decision-making</w:t>
      </w:r>
    </w:p>
    <w:p>
      <w:pPr>
        <w:pStyle w:val="ListBullet"/>
        <w:spacing w:before="10" w:after="10"/>
      </w:pPr>
      <w:r>
        <w:rPr>
          <w:rFonts w:ascii="Calibri" w:hAnsi="Calibri"/>
          <w:color w:val="1A1A1A"/>
          <w:sz w:val="19"/>
        </w:rPr>
        <w:t>Managed vendor relationships and platform administration for critical business systems</w:t>
      </w:r>
    </w:p>
    <w:p>
      <w:pPr>
        <w:spacing w:before="30" w:after="30"/>
      </w:pPr>
      <w:r>
        <w:rPr>
          <w:rFonts w:ascii="Calibri" w:hAnsi="Calibri"/>
          <w:b/>
          <w:i w:val="0"/>
          <w:color w:val="1A1A1A"/>
          <w:sz w:val="19"/>
        </w:rPr>
        <w:t>BI Partner / Strategist (Independent Consultant)</w:t>
      </w:r>
    </w:p>
    <w:p>
      <w:pPr>
        <w:spacing w:before="30" w:after="30"/>
      </w:pPr>
      <w:r>
        <w:rPr>
          <w:rFonts w:ascii="Calibri" w:hAnsi="Calibri"/>
          <w:b w:val="0"/>
          <w:i w:val="0"/>
          <w:color w:val="1A1A1A"/>
          <w:sz w:val="19"/>
        </w:rPr>
        <w:t>Multiple Clients</w:t>
        <w:tab/>
        <w:t>Jul 2016 – Mar 2020</w:t>
      </w:r>
    </w:p>
    <w:p>
      <w:pPr>
        <w:pStyle w:val="ListBullet"/>
        <w:spacing w:before="10" w:after="10"/>
      </w:pPr>
      <w:r>
        <w:rPr>
          <w:rFonts w:ascii="Calibri" w:hAnsi="Calibri"/>
          <w:color w:val="1A1A1A"/>
          <w:sz w:val="19"/>
        </w:rPr>
        <w:t>Led technology service delivery and platform management initiatives across multiple enterprise clients</w:t>
      </w:r>
    </w:p>
    <w:p>
      <w:pPr>
        <w:pStyle w:val="ListBullet"/>
        <w:spacing w:before="10" w:after="10"/>
      </w:pPr>
      <w:r>
        <w:rPr>
          <w:rFonts w:ascii="Calibri" w:hAnsi="Calibri"/>
          <w:color w:val="1A1A1A"/>
          <w:sz w:val="19"/>
        </w:rPr>
        <w:t>Managed technology teams and coordinated service delivery aligned with governance processes and organizational objectives</w:t>
      </w:r>
    </w:p>
    <w:p>
      <w:pPr>
        <w:pStyle w:val="ListBullet"/>
        <w:spacing w:before="10" w:after="10"/>
      </w:pPr>
      <w:r>
        <w:rPr>
          <w:rFonts w:ascii="Calibri" w:hAnsi="Calibri"/>
          <w:color w:val="1A1A1A"/>
          <w:sz w:val="19"/>
        </w:rPr>
        <w:t>Delivered enterprise technology solutions supporting 350+ users globally across distributed operations</w:t>
      </w:r>
    </w:p>
    <w:p>
      <w:pPr>
        <w:pStyle w:val="ListBullet"/>
        <w:spacing w:before="10" w:after="10"/>
      </w:pPr>
      <w:r>
        <w:rPr>
          <w:rFonts w:ascii="Calibri" w:hAnsi="Calibri"/>
          <w:color w:val="1A1A1A"/>
          <w:sz w:val="19"/>
        </w:rPr>
        <w:t>Mentored technical teams and supported organizational development across technology and operational functions</w:t>
      </w:r>
    </w:p>
    <w:p>
      <w:pPr>
        <w:pStyle w:val="ListBullet"/>
        <w:spacing w:before="10" w:after="10"/>
      </w:pPr>
      <w:r>
        <w:rPr>
          <w:rFonts w:ascii="Calibri" w:hAnsi="Calibri"/>
          <w:color w:val="1A1A1A"/>
          <w:sz w:val="19"/>
        </w:rPr>
        <w:t>Evaluated and optimized technology platforms for performance, scalability, and service delivery excellence</w:t>
      </w:r>
    </w:p>
    <w:p>
      <w:pPr>
        <w:spacing w:before="160" w:after="0"/>
      </w:pPr>
      <w:r>
        <w:rPr>
          <w:rFonts w:ascii="Calibri" w:hAnsi="Calibri"/>
          <w:b/>
          <w:color w:val="1A1A1A"/>
          <w:sz w:val="21"/>
        </w:rPr>
        <w:t>Co-Founder / CEO &amp; Technical Director</w:t>
      </w:r>
    </w:p>
    <w:p>
      <w:pPr>
        <w:spacing w:before="10" w:after="40"/>
        <w:tabs>
          <w:tab w:val="right" w:pos="10440"/>
        </w:tabs>
      </w:pPr>
      <w:r>
        <w:rPr>
          <w:rFonts w:ascii="Calibri" w:hAnsi="Calibri"/>
          <w:i/>
          <w:color w:val="444444"/>
          <w:sz w:val="19"/>
        </w:rPr>
        <w:t>Urban Evolution</w:t>
      </w:r>
      <w:r>
        <w:rPr>
          <w:rFonts w:ascii="Calibri" w:hAnsi="Calibri"/>
        </w:rPr>
        <w:tab/>
      </w:r>
      <w:r>
        <w:rPr>
          <w:rFonts w:ascii="Calibri" w:hAnsi="Calibri"/>
          <w:color w:val="444444"/>
          <w:sz w:val="19"/>
        </w:rPr>
        <w:t>Apr 2010 – Apr 2020</w:t>
      </w:r>
    </w:p>
    <w:p>
      <w:pPr>
        <w:pStyle w:val="ListBullet"/>
        <w:spacing w:before="10" w:after="10"/>
      </w:pPr>
      <w:r>
        <w:rPr>
          <w:rFonts w:ascii="Calibri" w:hAnsi="Calibri"/>
          <w:color w:val="1A1A1A"/>
          <w:sz w:val="19"/>
        </w:rPr>
        <w:t>Served as CEO and CTO for multi-location franchise operation, owning technology strategy, service delivery, and all enterprise systems</w:t>
      </w:r>
    </w:p>
    <w:p>
      <w:pPr>
        <w:pStyle w:val="ListBullet"/>
        <w:spacing w:before="10" w:after="10"/>
      </w:pPr>
      <w:r>
        <w:rPr>
          <w:rFonts w:ascii="Calibri" w:hAnsi="Calibri"/>
          <w:color w:val="1A1A1A"/>
          <w:sz w:val="19"/>
        </w:rPr>
        <w:t>Built and managed IT infrastructure and technology services across multiple geographic locations</w:t>
      </w:r>
    </w:p>
    <w:p>
      <w:pPr>
        <w:pStyle w:val="ListBullet"/>
        <w:spacing w:before="10" w:after="10"/>
      </w:pPr>
      <w:r>
        <w:rPr>
          <w:rFonts w:ascii="Calibri" w:hAnsi="Calibri"/>
          <w:color w:val="1A1A1A"/>
          <w:sz w:val="19"/>
        </w:rPr>
        <w:t>Led hiring, training, and development for business and technical teams supporting franchise operations</w:t>
      </w:r>
    </w:p>
    <w:p>
      <w:pPr>
        <w:pStyle w:val="ListBullet"/>
        <w:spacing w:before="10" w:after="10"/>
      </w:pPr>
      <w:r>
        <w:rPr>
          <w:rFonts w:ascii="Calibri" w:hAnsi="Calibri"/>
          <w:color w:val="1A1A1A"/>
          <w:sz w:val="19"/>
        </w:rPr>
        <w:t>Designed and implemented technology platforms supporting operational performance and business growth</w:t>
      </w:r>
    </w:p>
    <w:p>
      <w:pPr>
        <w:spacing w:before="160" w:after="0"/>
      </w:pPr>
      <w:r>
        <w:rPr>
          <w:rFonts w:ascii="Calibri" w:hAnsi="Calibri"/>
          <w:b/>
          <w:color w:val="1A1A1A"/>
          <w:sz w:val="21"/>
        </w:rPr>
        <w:t>VitalSpring Technologies</w:t>
      </w:r>
    </w:p>
    <w:p>
      <w:pPr>
        <w:spacing w:before="10" w:after="40"/>
        <w:tabs>
          <w:tab w:val="right" w:pos="10440"/>
        </w:tabs>
      </w:pPr>
      <w:r>
        <w:rPr>
          <w:rFonts w:ascii="Calibri" w:hAnsi="Calibri"/>
          <w:i/>
          <w:color w:val="444444"/>
          <w:sz w:val="19"/>
        </w:rPr>
        <w:t>BI Senior Manager</w:t>
      </w:r>
      <w:r>
        <w:rPr>
          <w:rFonts w:ascii="Calibri" w:hAnsi="Calibri"/>
        </w:rPr>
        <w:tab/>
      </w:r>
      <w:r>
        <w:rPr>
          <w:rFonts w:ascii="Calibri" w:hAnsi="Calibri"/>
          <w:color w:val="444444"/>
          <w:sz w:val="19"/>
        </w:rPr>
        <w:t>May 2008 – Jul 2016</w:t>
      </w:r>
    </w:p>
    <w:p>
      <w:pPr>
        <w:pStyle w:val="ListBullet"/>
        <w:spacing w:before="10" w:after="10"/>
      </w:pPr>
      <w:r>
        <w:rPr>
          <w:rFonts w:ascii="Calibri" w:hAnsi="Calibri"/>
          <w:color w:val="1A1A1A"/>
          <w:sz w:val="19"/>
        </w:rPr>
        <w:t>Served as Product Manager for enterprise technology and analytics initiatives across healthcare supply chain operations</w:t>
      </w:r>
    </w:p>
    <w:p>
      <w:pPr>
        <w:pStyle w:val="ListBullet"/>
        <w:spacing w:before="10" w:after="10"/>
      </w:pPr>
      <w:r>
        <w:rPr>
          <w:rFonts w:ascii="Calibri" w:hAnsi="Calibri"/>
          <w:color w:val="1A1A1A"/>
          <w:sz w:val="19"/>
        </w:rPr>
        <w:t>Led Agile delivery teams and technology service management across multiple business units</w:t>
      </w:r>
    </w:p>
    <w:p>
      <w:pPr>
        <w:pStyle w:val="ListBullet"/>
        <w:spacing w:before="10" w:after="10"/>
      </w:pPr>
      <w:r>
        <w:rPr>
          <w:rFonts w:ascii="Calibri" w:hAnsi="Calibri"/>
          <w:color w:val="1A1A1A"/>
          <w:sz w:val="19"/>
        </w:rPr>
        <w:t>Designed technology solutions identifying operational bottlenecks and driving cost savings exceeding $70K annually</w:t>
      </w:r>
    </w:p>
    <w:p>
      <w:pPr>
        <w:pStyle w:val="ListBullet"/>
        <w:spacing w:before="10" w:after="10"/>
      </w:pPr>
      <w:r>
        <w:rPr>
          <w:rFonts w:ascii="Calibri" w:hAnsi="Calibri"/>
          <w:color w:val="1A1A1A"/>
          <w:sz w:val="19"/>
        </w:rPr>
        <w:t>Mentored technical teams and coordinated technology delivery aligned with business objectives</w:t>
      </w:r>
    </w:p>
    <w:p>
      <w:pPr>
        <w:spacing w:before="220" w:after="60"/>
        <w:pBdr>
          <w:bottom w:val="single" w:sz="4" w:space="3" w:color="2E5090"/>
        </w:pBdr>
      </w:pPr>
      <w:r>
        <w:rPr>
          <w:rFonts w:ascii="Calibri" w:hAnsi="Calibri"/>
          <w:b/>
          <w:color w:val="2E5090"/>
          <w:sz w:val="21"/>
        </w:rPr>
        <w:t>EARLIER EXPERIENCE</w:t>
      </w:r>
    </w:p>
    <w:p>
      <w:pPr>
        <w:spacing w:before="30" w:after="30"/>
      </w:pPr>
      <w:r>
        <w:rPr>
          <w:rFonts w:ascii="Calibri" w:hAnsi="Calibri"/>
          <w:b/>
          <w:i w:val="0"/>
          <w:color w:val="1A1A1A"/>
          <w:sz w:val="19"/>
        </w:rPr>
        <w:t>Senior BI Consultant – Claraview (Teradata), 2006–2008</w:t>
      </w:r>
    </w:p>
    <w:p>
      <w:pPr>
        <w:pStyle w:val="ListBullet"/>
        <w:spacing w:before="10" w:after="10"/>
      </w:pPr>
      <w:r>
        <w:rPr>
          <w:rFonts w:ascii="Calibri" w:hAnsi="Calibri"/>
          <w:color w:val="1A1A1A"/>
          <w:sz w:val="19"/>
        </w:rPr>
        <w:t>Technical architect for 25,000-user enterprise technology platform (Lowe's); defined technology strategy and KPIs for Fortune 100 client</w:t>
      </w:r>
    </w:p>
    <w:p>
      <w:pPr>
        <w:spacing w:before="30" w:after="30"/>
      </w:pPr>
      <w:r>
        <w:rPr>
          <w:rFonts w:ascii="Calibri" w:hAnsi="Calibri"/>
          <w:b w:val="0"/>
          <w:i w:val="0"/>
          <w:color w:val="1A1A1A"/>
          <w:sz w:val="19"/>
        </w:rPr>
        <w:t>BI Consultant – Kinetic Networks, 2005–2006</w:t>
      </w:r>
    </w:p>
    <w:p>
      <w:pPr>
        <w:pStyle w:val="ListBullet"/>
        <w:spacing w:before="10" w:after="10"/>
      </w:pPr>
      <w:r>
        <w:rPr>
          <w:rFonts w:ascii="Calibri" w:hAnsi="Calibri"/>
          <w:color w:val="1A1A1A"/>
          <w:sz w:val="19"/>
        </w:rPr>
        <w:t>Delivered enterprise technology solutions for Google, Yahoo, Wells Fargo</w:t>
      </w:r>
    </w:p>
    <w:p>
      <w:pPr>
        <w:spacing w:before="30" w:after="30"/>
      </w:pPr>
      <w:r>
        <w:rPr>
          <w:rFonts w:ascii="Calibri" w:hAnsi="Calibri"/>
          <w:b w:val="0"/>
          <w:i w:val="0"/>
          <w:color w:val="1A1A1A"/>
          <w:sz w:val="19"/>
        </w:rPr>
        <w:t>IT Specialist – U.S. Environmental Protection Agency, 2002–2005</w:t>
      </w:r>
    </w:p>
    <w:p>
      <w:pPr>
        <w:pStyle w:val="ListBullet"/>
        <w:spacing w:before="10" w:after="10"/>
      </w:pPr>
      <w:r>
        <w:rPr>
          <w:rFonts w:ascii="Calibri" w:hAnsi="Calibri"/>
          <w:color w:val="1A1A1A"/>
          <w:sz w:val="19"/>
        </w:rPr>
        <w:t>Led team of 6 engineers and developers; defined IT strategy and managed technology services for National Center for Environmental Economics; maintained Public Trust clearance</w:t>
      </w:r>
    </w:p>
    <w:p>
      <w:pPr>
        <w:spacing w:before="30" w:after="30"/>
      </w:pPr>
      <w:r>
        <w:rPr>
          <w:rFonts w:ascii="Calibri" w:hAnsi="Calibri"/>
          <w:b w:val="0"/>
          <w:i w:val="0"/>
          <w:color w:val="1A1A1A"/>
          <w:sz w:val="19"/>
        </w:rPr>
        <w:t>Operations Manager – MicroStrategy, 1999–2001</w:t>
      </w:r>
    </w:p>
    <w:p>
      <w:pPr>
        <w:pStyle w:val="ListBullet"/>
        <w:spacing w:before="10" w:after="10"/>
      </w:pPr>
      <w:r>
        <w:rPr>
          <w:rFonts w:ascii="Calibri" w:hAnsi="Calibri"/>
          <w:color w:val="1A1A1A"/>
          <w:sz w:val="19"/>
        </w:rPr>
        <w:t>Led systems engineering team; delivered integrated technology platforms; achieved ~$312K annual cost savings through vendor optimization and service delivery improvements</w:t>
      </w:r>
    </w:p>
    <w:p>
      <w:pPr>
        <w:spacing w:before="220" w:after="60"/>
        <w:pBdr>
          <w:bottom w:val="single" w:sz="4" w:space="3" w:color="2E5090"/>
        </w:pBdr>
      </w:pPr>
      <w:r>
        <w:rPr>
          <w:rFonts w:ascii="Calibri" w:hAnsi="Calibri"/>
          <w:b/>
          <w:color w:val="2E5090"/>
          <w:sz w:val="21"/>
        </w:rPr>
        <w:t>SELECTED SYSTEMS &amp; INNOVATION</w:t>
      </w:r>
    </w:p>
    <w:p>
      <w:pPr>
        <w:pStyle w:val="ListBullet"/>
        <w:spacing w:before="10" w:after="10"/>
      </w:pPr>
      <w:r>
        <w:rPr>
          <w:rFonts w:ascii="Calibri" w:hAnsi="Calibri"/>
          <w:color w:val="1A1A1A"/>
          <w:sz w:val="19"/>
        </w:rPr>
        <w:t>Designed enterprise-grade platform architecture combining containerized services, monitoring systems, and secure access controls</w:t>
      </w:r>
    </w:p>
    <w:p>
      <w:pPr>
        <w:pStyle w:val="ListBullet"/>
        <w:spacing w:before="10" w:after="10"/>
      </w:pPr>
      <w:r>
        <w:rPr>
          <w:rFonts w:ascii="Calibri" w:hAnsi="Calibri"/>
          <w:color w:val="1A1A1A"/>
          <w:sz w:val="19"/>
        </w:rPr>
        <w:t>Built technology infrastructure supporting distributed operations with high-availability requirements and performance optimization</w:t>
      </w:r>
    </w:p>
    <w:p>
      <w:pPr>
        <w:pStyle w:val="ListBullet"/>
        <w:spacing w:before="10" w:after="10"/>
      </w:pPr>
      <w:r>
        <w:rPr>
          <w:rFonts w:ascii="Calibri" w:hAnsi="Calibri"/>
          <w:color w:val="1A1A1A"/>
          <w:sz w:val="19"/>
        </w:rPr>
        <w:t>Implemented enterprise service delivery platforms with role-based access, audit logging, and compliance frameworks</w:t>
      </w:r>
    </w:p>
    <w:p>
      <w:pPr>
        <w:pStyle w:val="ListBullet"/>
        <w:spacing w:before="10" w:after="10"/>
      </w:pPr>
      <w:r>
        <w:rPr>
          <w:rFonts w:ascii="Calibri" w:hAnsi="Calibri"/>
          <w:color w:val="1A1A1A"/>
          <w:sz w:val="19"/>
        </w:rPr>
        <w:t>Operate advanced technology infrastructure (10GbE backbone, enterprise storage, containerized services, high-availability routing)</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Enterprise Platforms: </w:t>
      </w:r>
      <w:r>
        <w:rPr>
          <w:rFonts w:ascii="Calibri" w:hAnsi="Calibri"/>
          <w:color w:val="1A1A1A"/>
          <w:sz w:val="19"/>
        </w:rPr>
        <w:t>Microsoft 365, Azure (data services), ServiceNow, enterprise collaboration tools</w:t>
      </w:r>
    </w:p>
    <w:p>
      <w:pPr>
        <w:spacing w:before="20" w:after="20"/>
      </w:pPr>
      <w:r>
        <w:rPr>
          <w:rFonts w:ascii="Calibri" w:hAnsi="Calibri"/>
          <w:b/>
          <w:color w:val="1A1A1A"/>
          <w:sz w:val="19"/>
        </w:rPr>
        <w:t xml:space="preserve">Technology Management: </w:t>
      </w:r>
      <w:r>
        <w:rPr>
          <w:rFonts w:ascii="Calibri" w:hAnsi="Calibri"/>
          <w:color w:val="1A1A1A"/>
          <w:sz w:val="19"/>
        </w:rPr>
        <w:t>ITSM processes, vendor management, service delivery optimization</w:t>
      </w:r>
    </w:p>
    <w:p>
      <w:pPr>
        <w:spacing w:before="20" w:after="20"/>
      </w:pPr>
      <w:r>
        <w:rPr>
          <w:rFonts w:ascii="Calibri" w:hAnsi="Calibri"/>
          <w:b/>
          <w:color w:val="1A1A1A"/>
          <w:sz w:val="19"/>
        </w:rPr>
        <w:t xml:space="preserve">Infrastructure: </w:t>
      </w:r>
      <w:r>
        <w:rPr>
          <w:rFonts w:ascii="Calibri" w:hAnsi="Calibri"/>
          <w:color w:val="1A1A1A"/>
          <w:sz w:val="19"/>
        </w:rPr>
        <w:t>Linux (Ubuntu), Docker, distributed systems, networking, enterprise architecture</w:t>
      </w:r>
    </w:p>
    <w:p>
      <w:pPr>
        <w:spacing w:before="20" w:after="20"/>
      </w:pPr>
      <w:r>
        <w:rPr>
          <w:rFonts w:ascii="Calibri" w:hAnsi="Calibri"/>
          <w:b/>
          <w:color w:val="1A1A1A"/>
          <w:sz w:val="19"/>
        </w:rPr>
        <w:t xml:space="preserve">Development: </w:t>
      </w:r>
      <w:r>
        <w:rPr>
          <w:rFonts w:ascii="Calibri" w:hAnsi="Calibri"/>
          <w:color w:val="1A1A1A"/>
          <w:sz w:val="19"/>
        </w:rPr>
        <w:t>SQL, Python, ETL/ELT, CI/CD practices, containerized environments</w:t>
      </w:r>
    </w:p>
    <w:p>
      <w:pPr>
        <w:spacing w:before="20" w:after="20"/>
      </w:pPr>
      <w:r>
        <w:rPr>
          <w:rFonts w:ascii="Calibri" w:hAnsi="Calibri"/>
          <w:b/>
          <w:color w:val="1A1A1A"/>
          <w:sz w:val="19"/>
        </w:rPr>
        <w:t xml:space="preserve">Compliance: </w:t>
      </w:r>
      <w:r>
        <w:rPr>
          <w:rFonts w:ascii="Calibri" w:hAnsi="Calibri"/>
          <w:color w:val="1A1A1A"/>
          <w:sz w:val="19"/>
        </w:rPr>
        <w:t>Data governance, audit frameworks, system validation and monitoring</w:t>
      </w:r>
    </w:p>
    <w:p>
      <w:pPr>
        <w:spacing w:before="220" w:after="60"/>
        <w:pBdr>
          <w:bottom w:val="single" w:sz="4" w:space="3" w:color="2E5090"/>
        </w:pBdr>
      </w:pPr>
      <w:r>
        <w:rPr>
          <w:rFonts w:ascii="Calibri" w:hAnsi="Calibri"/>
          <w:b/>
          <w:color w:val="2E5090"/>
          <w:sz w:val="21"/>
        </w:rPr>
        <w:t>CERTIFICATIONS &amp; EDUCATION</w:t>
      </w:r>
    </w:p>
    <w:p>
      <w:pPr>
        <w:spacing w:before="30" w:after="30"/>
      </w:pPr>
      <w:r>
        <w:rPr>
          <w:rFonts w:ascii="Calibri" w:hAnsi="Calibri"/>
          <w:b w:val="0"/>
          <w:i w:val="0"/>
          <w:color w:val="1A1A1A"/>
          <w:sz w:val="19"/>
        </w:rPr>
        <w:t>B.A., Washington University in St. Louis</w:t>
      </w:r>
    </w:p>
    <w:p>
      <w:pPr>
        <w:spacing w:before="30" w:after="30"/>
      </w:pPr>
      <w:r>
        <w:rPr>
          <w:rFonts w:ascii="Calibri" w:hAnsi="Calibri"/>
          <w:b w:val="0"/>
          <w:i w:val="0"/>
          <w:color w:val="1A1A1A"/>
          <w:sz w:val="19"/>
        </w:rPr>
        <w:t>CISSP  ·  Certified Scrum Master  ·  Tableau Certified Professional  ·  MicroStrategy Certified Developer</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