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i w:val="0"/>
          <w:color w:val="1A1A1A"/>
          <w:sz w:val="19"/>
        </w:rPr>
        <w:t>Senior Enterprise Architect with 25+ years of experience driving large-scale ERP modernization and application portfolio transformations across government and commercial sectors. Currently leading enterprise data architecture and system integration for the Department of Veterans Affairs' Financial Management Business Transformation (FMBT) program—a multi-billion-dollar ERP modernization initiative requiring deep stakeholder coordination and executive briefings.</w:t>
      </w:r>
    </w:p>
    <w:p>
      <w:pPr>
        <w:spacing w:before="30" w:after="30"/>
      </w:pPr>
      <w:r>
        <w:rPr>
          <w:rFonts w:ascii="Calibri" w:hAnsi="Calibri"/>
          <w:b w:val="0"/>
          <w:i w:val="0"/>
          <w:color w:val="1A1A1A"/>
          <w:sz w:val="19"/>
        </w:rPr>
        <w:t>Proven expertise in developing application roadmaps, evaluating technology investments, and aligning IT architecture with business objectives across Finance, HR, and Procurement domains. Experienced in M&amp;A due diligence, demand qualification, and leading cross-functional teams through complex transformational initiatives. Strong background in briefing senior leadership and driving consensus across diverse technical and business stakeholders.</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Applications Architecture &amp; Modernization</w:t>
      </w:r>
    </w:p>
    <w:p>
      <w:pPr>
        <w:pStyle w:val="ListBullet"/>
        <w:spacing w:before="10" w:after="10"/>
      </w:pPr>
      <w:r>
        <w:rPr>
          <w:rFonts w:ascii="Calibri" w:hAnsi="Calibri"/>
          <w:color w:val="1A1A1A"/>
          <w:sz w:val="19"/>
        </w:rPr>
        <w:t>ERP and HCM system modernization, roadmap development, and portfolio optimization</w:t>
      </w:r>
    </w:p>
    <w:p>
      <w:pPr>
        <w:pStyle w:val="ListBullet"/>
        <w:spacing w:before="10" w:after="10"/>
      </w:pPr>
      <w:r>
        <w:rPr>
          <w:rFonts w:ascii="Calibri" w:hAnsi="Calibri"/>
          <w:color w:val="1A1A1A"/>
          <w:sz w:val="19"/>
        </w:rPr>
        <w:t>Enterprise application assessment for technology risks and business transformation opportunities</w:t>
      </w:r>
    </w:p>
    <w:p>
      <w:pPr>
        <w:pStyle w:val="ListBullet"/>
        <w:spacing w:before="10" w:after="10"/>
      </w:pPr>
      <w:r>
        <w:rPr>
          <w:rFonts w:ascii="Calibri" w:hAnsi="Calibri"/>
          <w:color w:val="1A1A1A"/>
          <w:sz w:val="19"/>
        </w:rPr>
        <w:t>Standards definition and best practices implementation across application domains</w:t>
      </w:r>
    </w:p>
    <w:p>
      <w:pPr>
        <w:spacing w:before="30" w:after="30"/>
      </w:pPr>
      <w:r>
        <w:rPr>
          <w:rFonts w:ascii="Calibri" w:hAnsi="Calibri"/>
          <w:b w:val="0"/>
          <w:i w:val="0"/>
          <w:color w:val="1A1A1A"/>
          <w:sz w:val="19"/>
        </w:rPr>
        <w:t>Enterprise Architecture &amp; Strategy</w:t>
      </w:r>
    </w:p>
    <w:p>
      <w:pPr>
        <w:pStyle w:val="ListBullet"/>
        <w:spacing w:before="10" w:after="10"/>
      </w:pPr>
      <w:r>
        <w:rPr>
          <w:rFonts w:ascii="Calibri" w:hAnsi="Calibri"/>
          <w:color w:val="1A1A1A"/>
          <w:sz w:val="19"/>
        </w:rPr>
        <w:t>Technology investment alignment with business objectives and long-term strategic goals</w:t>
      </w:r>
    </w:p>
    <w:p>
      <w:pPr>
        <w:pStyle w:val="ListBullet"/>
        <w:spacing w:before="10" w:after="10"/>
      </w:pPr>
      <w:r>
        <w:rPr>
          <w:rFonts w:ascii="Calibri" w:hAnsi="Calibri"/>
          <w:color w:val="1A1A1A"/>
          <w:sz w:val="19"/>
        </w:rPr>
        <w:t>Cross-domain collaboration with Data, Infrastructure, and Cybersecurity architecture teams</w:t>
      </w:r>
    </w:p>
    <w:p>
      <w:pPr>
        <w:pStyle w:val="ListBullet"/>
        <w:spacing w:before="10" w:after="10"/>
      </w:pPr>
      <w:r>
        <w:rPr>
          <w:rFonts w:ascii="Calibri" w:hAnsi="Calibri"/>
          <w:color w:val="1A1A1A"/>
          <w:sz w:val="19"/>
        </w:rPr>
        <w:t>Independent architectural reviews for large transformational initiatives</w:t>
      </w:r>
    </w:p>
    <w:p>
      <w:pPr>
        <w:spacing w:before="30" w:after="30"/>
      </w:pPr>
      <w:r>
        <w:rPr>
          <w:rFonts w:ascii="Calibri" w:hAnsi="Calibri"/>
          <w:b w:val="0"/>
          <w:i w:val="0"/>
          <w:color w:val="1A1A1A"/>
          <w:sz w:val="19"/>
        </w:rPr>
        <w:t>Stakeholder Management &amp; Leadership</w:t>
      </w:r>
    </w:p>
    <w:p>
      <w:pPr>
        <w:pStyle w:val="ListBullet"/>
        <w:spacing w:before="10" w:after="10"/>
      </w:pPr>
      <w:r>
        <w:rPr>
          <w:rFonts w:ascii="Calibri" w:hAnsi="Calibri"/>
          <w:color w:val="1A1A1A"/>
          <w:sz w:val="19"/>
        </w:rPr>
        <w:t>Executive briefings and senior leadership communication on enterprise technology initiatives</w:t>
      </w:r>
    </w:p>
    <w:p>
      <w:pPr>
        <w:pStyle w:val="ListBullet"/>
        <w:spacing w:before="10" w:after="10"/>
      </w:pPr>
      <w:r>
        <w:rPr>
          <w:rFonts w:ascii="Calibri" w:hAnsi="Calibri"/>
          <w:color w:val="1A1A1A"/>
          <w:sz w:val="19"/>
        </w:rPr>
        <w:t>Cross-functional coordination to drive consensus and promote architectural standards adoption</w:t>
      </w:r>
    </w:p>
    <w:p>
      <w:pPr>
        <w:pStyle w:val="ListBullet"/>
        <w:spacing w:before="10" w:after="10"/>
      </w:pPr>
      <w:r>
        <w:rPr>
          <w:rFonts w:ascii="Calibri" w:hAnsi="Calibri"/>
          <w:color w:val="1A1A1A"/>
          <w:sz w:val="19"/>
        </w:rPr>
        <w:t>Mentoring and technical guidance for engineering teams and junior architects</w:t>
      </w:r>
    </w:p>
    <w:p>
      <w:pPr>
        <w:spacing w:before="30" w:after="30"/>
      </w:pPr>
      <w:r>
        <w:rPr>
          <w:rFonts w:ascii="Calibri" w:hAnsi="Calibri"/>
          <w:b w:val="0"/>
          <w:i w:val="0"/>
          <w:color w:val="1A1A1A"/>
          <w:sz w:val="19"/>
        </w:rPr>
        <w:t>Business Transformation &amp; M&amp;A</w:t>
      </w:r>
    </w:p>
    <w:p>
      <w:pPr>
        <w:pStyle w:val="ListBullet"/>
        <w:spacing w:before="10" w:after="10"/>
      </w:pPr>
      <w:r>
        <w:rPr>
          <w:rFonts w:ascii="Calibri" w:hAnsi="Calibri"/>
          <w:color w:val="1A1A1A"/>
          <w:sz w:val="19"/>
        </w:rPr>
        <w:t>Due diligence support for enterprise system evaluations and integration planning</w:t>
      </w:r>
    </w:p>
    <w:p>
      <w:pPr>
        <w:pStyle w:val="ListBullet"/>
        <w:spacing w:before="10" w:after="10"/>
      </w:pPr>
      <w:r>
        <w:rPr>
          <w:rFonts w:ascii="Calibri" w:hAnsi="Calibri"/>
          <w:color w:val="1A1A1A"/>
          <w:sz w:val="19"/>
        </w:rPr>
        <w:t>Demand qualification and solution architecture review for business initiatives</w:t>
      </w:r>
    </w:p>
    <w:p>
      <w:pPr>
        <w:pStyle w:val="ListBullet"/>
        <w:spacing w:before="10" w:after="10"/>
      </w:pPr>
      <w:r>
        <w:rPr>
          <w:rFonts w:ascii="Calibri" w:hAnsi="Calibri"/>
          <w:color w:val="1A1A1A"/>
          <w:sz w:val="19"/>
        </w:rPr>
        <w:t>Change management and organizational alignment during large-scale technology transitions</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enterprise architecture and system integration workstreams for VA's multi-billion-dollar Financial Management Business Transformation (FMBT) program, modernizing legacy financial systems with enterprise ERP platform (iFAMS)</w:t>
      </w:r>
    </w:p>
    <w:p>
      <w:pPr>
        <w:pStyle w:val="ListBullet"/>
        <w:spacing w:before="10" w:after="10"/>
      </w:pPr>
      <w:r>
        <w:rPr>
          <w:rFonts w:ascii="Calibri" w:hAnsi="Calibri"/>
          <w:color w:val="1A1A1A"/>
          <w:sz w:val="19"/>
        </w:rPr>
        <w:t>Develop and maintain application roadmaps aligning technology initiatives with VA finance and acquisition business strategies, coordinating across multiple stakeholder groups and executive leadership</w:t>
      </w:r>
    </w:p>
    <w:p>
      <w:pPr>
        <w:pStyle w:val="ListBullet"/>
        <w:spacing w:before="10" w:after="10"/>
      </w:pPr>
      <w:r>
        <w:rPr>
          <w:rFonts w:ascii="Calibri" w:hAnsi="Calibri"/>
          <w:color w:val="1A1A1A"/>
          <w:sz w:val="19"/>
        </w:rPr>
        <w:t>Provide architectural guidance and independent review of solution architectures during demand qualification and project initiation phases</w:t>
      </w:r>
    </w:p>
    <w:p>
      <w:pPr>
        <w:pStyle w:val="ListBullet"/>
        <w:spacing w:before="10" w:after="10"/>
      </w:pPr>
      <w:r>
        <w:rPr>
          <w:rFonts w:ascii="Calibri" w:hAnsi="Calibri"/>
          <w:color w:val="1A1A1A"/>
          <w:sz w:val="19"/>
        </w:rPr>
        <w:t>Design and implement enterprise data integration architecture bridging legacy systems and ERP platforms, ensuring consistency, interoperability, and scalability across the technology portfolio</w:t>
      </w:r>
    </w:p>
    <w:p>
      <w:pPr>
        <w:pStyle w:val="ListBullet"/>
        <w:spacing w:before="10" w:after="10"/>
      </w:pPr>
      <w:r>
        <w:rPr>
          <w:rFonts w:ascii="Calibri" w:hAnsi="Calibri"/>
          <w:color w:val="1A1A1A"/>
          <w:sz w:val="19"/>
        </w:rPr>
        <w:t>Brief senior leadership and executive stakeholders on architectural decisions, implementation progress, and business transformation outcomes</w:t>
      </w:r>
    </w:p>
    <w:p>
      <w:pPr>
        <w:pStyle w:val="ListBullet"/>
        <w:spacing w:before="10" w:after="10"/>
      </w:pPr>
      <w:r>
        <w:rPr>
          <w:rFonts w:ascii="Calibri" w:hAnsi="Calibri"/>
          <w:color w:val="1A1A1A"/>
          <w:sz w:val="19"/>
        </w:rPr>
        <w:t>Coordinate across finance, acquisition, and IT domains to resolve complex integration challenges and drive successful delivery outcomes</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Played key technical leadership role in multi-million-dollar Workday ERP implementation as one of three cross-functional drivers (Finance, HR, IT) during period of executive disruption, successfully stabilizing delivery and driving program to completion</w:t>
      </w:r>
    </w:p>
    <w:p>
      <w:pPr>
        <w:pStyle w:val="ListBullet"/>
        <w:spacing w:before="10" w:after="10"/>
      </w:pPr>
      <w:r>
        <w:rPr>
          <w:rFonts w:ascii="Calibri" w:hAnsi="Calibri"/>
          <w:color w:val="1A1A1A"/>
          <w:sz w:val="19"/>
        </w:rPr>
        <w:t>Served as enterprise architect for application modernization initiative, defining architectural standards and ensuring alignment with business transformation objectives</w:t>
      </w:r>
    </w:p>
    <w:p>
      <w:pPr>
        <w:pStyle w:val="ListBullet"/>
        <w:spacing w:before="10" w:after="10"/>
      </w:pPr>
      <w:r>
        <w:rPr>
          <w:rFonts w:ascii="Calibri" w:hAnsi="Calibri"/>
          <w:color w:val="1A1A1A"/>
          <w:sz w:val="19"/>
        </w:rPr>
        <w:t>Led enterprise architecture planning and roadmap development in direct collaboration with Deputy CFO and executive leadership</w:t>
      </w:r>
    </w:p>
    <w:p>
      <w:pPr>
        <w:pStyle w:val="ListBullet"/>
        <w:spacing w:before="10" w:after="10"/>
      </w:pPr>
      <w:r>
        <w:rPr>
          <w:rFonts w:ascii="Calibri" w:hAnsi="Calibri"/>
          <w:color w:val="1A1A1A"/>
          <w:sz w:val="19"/>
        </w:rPr>
        <w:t>Conducted independent architectural reviews of implementation artifacts and provided guidance on technical feasibility and business alignment</w:t>
      </w:r>
    </w:p>
    <w:p>
      <w:pPr>
        <w:pStyle w:val="ListBullet"/>
        <w:spacing w:before="10" w:after="10"/>
      </w:pPr>
      <w:r>
        <w:rPr>
          <w:rFonts w:ascii="Calibri" w:hAnsi="Calibri"/>
          <w:color w:val="1A1A1A"/>
          <w:sz w:val="19"/>
        </w:rPr>
        <w:t>Established data governance framework and architectural principles ensuring compliance with organizational standards and regulatory requirements</w:t>
      </w:r>
    </w:p>
    <w:p>
      <w:pPr>
        <w:pStyle w:val="ListBullet"/>
        <w:spacing w:before="10" w:after="10"/>
      </w:pPr>
      <w:r>
        <w:rPr>
          <w:rFonts w:ascii="Calibri" w:hAnsi="Calibri"/>
          <w:color w:val="1A1A1A"/>
          <w:sz w:val="19"/>
        </w:rPr>
        <w:t>Mentored technical teams and provided architectural guidance throughout the transformation initiative</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Delivered enterprise architecture consulting across multiple clients, focusing on application portfolio optimization and business transformation initiatives</w:t>
      </w:r>
    </w:p>
    <w:p>
      <w:pPr>
        <w:pStyle w:val="ListBullet"/>
        <w:spacing w:before="10" w:after="10"/>
      </w:pPr>
      <w:r>
        <w:rPr>
          <w:rFonts w:ascii="Calibri" w:hAnsi="Calibri"/>
          <w:color w:val="1A1A1A"/>
          <w:sz w:val="19"/>
        </w:rPr>
        <w:t>Led architectural reviews and solution assessments for large-scale modernization projects, ensuring alignment with enterprise standards and business outcomes</w:t>
      </w:r>
    </w:p>
    <w:p>
      <w:pPr>
        <w:pStyle w:val="ListBullet"/>
        <w:spacing w:before="10" w:after="10"/>
      </w:pPr>
      <w:r>
        <w:rPr>
          <w:rFonts w:ascii="Calibri" w:hAnsi="Calibri"/>
          <w:color w:val="1A1A1A"/>
          <w:sz w:val="19"/>
        </w:rPr>
        <w:t>Provided technical leadership and mentoring for engineering teams across complex system integration projects</w:t>
      </w:r>
    </w:p>
    <w:p>
      <w:pPr>
        <w:pStyle w:val="ListBullet"/>
        <w:spacing w:before="10" w:after="10"/>
      </w:pPr>
      <w:r>
        <w:rPr>
          <w:rFonts w:ascii="Calibri" w:hAnsi="Calibri"/>
          <w:color w:val="1A1A1A"/>
          <w:sz w:val="19"/>
        </w:rPr>
        <w:t>Developed application roadmaps and strategic technology plans supporting business transformation objectives</w:t>
      </w:r>
    </w:p>
    <w:p>
      <w:pPr>
        <w:pStyle w:val="ListBullet"/>
        <w:spacing w:before="10" w:after="10"/>
      </w:pPr>
      <w:r>
        <w:rPr>
          <w:rFonts w:ascii="Calibri" w:hAnsi="Calibri"/>
          <w:color w:val="1A1A1A"/>
          <w:sz w:val="19"/>
        </w:rPr>
        <w:t>Evaluated enterprise application portfolios for technology risks, opportunities, and alignment with business strategies</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2009</w:t>
      </w:r>
    </w:p>
    <w:p>
      <w:pPr>
        <w:pStyle w:val="ListBullet"/>
        <w:spacing w:before="10" w:after="10"/>
      </w:pPr>
      <w:r>
        <w:rPr>
          <w:rFonts w:ascii="Calibri" w:hAnsi="Calibri"/>
          <w:color w:val="1A1A1A"/>
          <w:sz w:val="19"/>
        </w:rPr>
        <w:t>Served as Product Manager and technical architect for enterprise BI and analytics applications, driving technology investment alignment with business objectives</w:t>
      </w:r>
    </w:p>
    <w:p>
      <w:pPr>
        <w:pStyle w:val="ListBullet"/>
        <w:spacing w:before="10" w:after="10"/>
      </w:pPr>
      <w:r>
        <w:rPr>
          <w:rFonts w:ascii="Calibri" w:hAnsi="Calibri"/>
          <w:color w:val="1A1A1A"/>
          <w:sz w:val="19"/>
        </w:rPr>
        <w:t>Led enterprise application modernization initiative resulting in $70K+ annual cost savings through process optimization and architectural improvements</w:t>
      </w:r>
    </w:p>
    <w:p>
      <w:pPr>
        <w:pStyle w:val="ListBullet"/>
        <w:spacing w:before="10" w:after="10"/>
      </w:pPr>
      <w:r>
        <w:rPr>
          <w:rFonts w:ascii="Calibri" w:hAnsi="Calibri"/>
          <w:color w:val="1A1A1A"/>
          <w:sz w:val="19"/>
        </w:rPr>
        <w:t>Provided technical leadership across Agile delivery teams and mentored engineers on architectural principles and best practices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for 25,000-user enterprise reporting platform (Lowe's); defined enterprise KPIs and architectural frameworks for Fortune 100 client</w:t>
      </w:r>
    </w:p>
    <w:p>
      <w:pPr>
        <w:spacing w:before="30" w:after="30"/>
      </w:pPr>
      <w:r>
        <w:rPr>
          <w:rFonts w:ascii="Calibri" w:hAnsi="Calibri"/>
          <w:b w:val="0"/>
          <w:i w:val="0"/>
          <w:color w:val="1A1A1A"/>
          <w:sz w:val="19"/>
        </w:rPr>
        <w:t>BI Consultant – Kinetic Networks, 2005–2006</w:t>
      </w:r>
    </w:p>
    <w:p>
      <w:pPr>
        <w:pStyle w:val="ListBullet"/>
        <w:spacing w:before="10" w:after="10"/>
      </w:pPr>
      <w:r>
        <w:rPr>
          <w:rFonts w:ascii="Calibri" w:hAnsi="Calibri"/>
          <w:color w:val="1A1A1A"/>
          <w:sz w:val="19"/>
        </w:rPr>
        <w:t>Delivered enterprise analytics solutions and architectural guidance for Google, Yahoo, Wells Fargo</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Led team of 6 engineers; defined IT strategy and enterprise application architecture for National Center for Environmental Economics; maintained Public Trust clearance</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Led engineering team for enterprise analytics platform; delivered integrated application solutions; achieved ~$312K/year cost optimization through vendor management and architectural improvements</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enterprise-grade on-premises LLM/RAG platform with role-based access controls and audit logging capabilities for secure knowledge management</w:t>
      </w:r>
    </w:p>
    <w:p>
      <w:pPr>
        <w:pStyle w:val="ListBullet"/>
        <w:spacing w:before="10" w:after="10"/>
      </w:pPr>
      <w:r>
        <w:rPr>
          <w:rFonts w:ascii="Calibri" w:hAnsi="Calibri"/>
          <w:color w:val="1A1A1A"/>
          <w:sz w:val="19"/>
        </w:rPr>
        <w:t>Built containerized application deployment environments across distributed infrastructure supporting enterprise-scale workloads</w:t>
      </w:r>
    </w:p>
    <w:p>
      <w:pPr>
        <w:pStyle w:val="ListBullet"/>
        <w:spacing w:before="10" w:after="10"/>
      </w:pPr>
      <w:r>
        <w:rPr>
          <w:rFonts w:ascii="Calibri" w:hAnsi="Calibri"/>
          <w:color w:val="1A1A1A"/>
          <w:sz w:val="19"/>
        </w:rPr>
        <w:t>Developed integrated enterprise systems combining data pipelines, event-driven automation, and comprehensive monitoring frameworks</w:t>
      </w:r>
    </w:p>
    <w:p>
      <w:pPr>
        <w:pStyle w:val="ListBullet"/>
        <w:spacing w:before="10" w:after="10"/>
      </w:pPr>
      <w:r>
        <w:rPr>
          <w:rFonts w:ascii="Calibri" w:hAnsi="Calibri"/>
          <w:color w:val="1A1A1A"/>
          <w:sz w:val="19"/>
        </w:rPr>
        <w:t>Operate advanced technical laboratory environment (10GbE backbone, 100TB+ storage, enterprise networking, high-availability systems)</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Enterprise Architecture: </w:t>
      </w:r>
      <w:r>
        <w:rPr>
          <w:rFonts w:ascii="Calibri" w:hAnsi="Calibri"/>
          <w:color w:val="1A1A1A"/>
          <w:sz w:val="19"/>
        </w:rPr>
        <w:t>Application Portfolio Management, Technology Roadmapping, Standards Definition</w:t>
      </w:r>
    </w:p>
    <w:p>
      <w:pPr>
        <w:spacing w:before="20" w:after="20"/>
      </w:pPr>
      <w:r>
        <w:rPr>
          <w:rFonts w:ascii="Calibri" w:hAnsi="Calibri"/>
          <w:b/>
          <w:color w:val="1A1A1A"/>
          <w:sz w:val="19"/>
        </w:rPr>
        <w:t xml:space="preserve">Applications: </w:t>
      </w:r>
      <w:r>
        <w:rPr>
          <w:rFonts w:ascii="Calibri" w:hAnsi="Calibri"/>
          <w:color w:val="1A1A1A"/>
          <w:sz w:val="19"/>
        </w:rPr>
        <w:t>ERP Systems (iFAMS, Workday), Enterprise Integration, Solution Architecture</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Enterprise Data Architecture</w:t>
      </w:r>
    </w:p>
    <w:p>
      <w:pPr>
        <w:spacing w:before="20" w:after="20"/>
      </w:pPr>
      <w:r>
        <w:rPr>
          <w:rFonts w:ascii="Calibri" w:hAnsi="Calibri"/>
          <w:b/>
          <w:color w:val="1A1A1A"/>
          <w:sz w:val="19"/>
        </w:rPr>
        <w:t xml:space="preserve">Platforms: </w:t>
      </w:r>
      <w:r>
        <w:rPr>
          <w:rFonts w:ascii="Calibri" w:hAnsi="Calibri"/>
          <w:color w:val="1A1A1A"/>
          <w:sz w:val="19"/>
        </w:rPr>
        <w:t>Tableau, Power BI, MicroStrategy, Azure (data services)</w:t>
      </w:r>
    </w:p>
    <w:p>
      <w:pPr>
        <w:spacing w:before="20" w:after="20"/>
      </w:pPr>
      <w:r>
        <w:rPr>
          <w:rFonts w:ascii="Calibri" w:hAnsi="Calibri"/>
          <w:b/>
          <w:color w:val="1A1A1A"/>
          <w:sz w:val="19"/>
        </w:rPr>
        <w:t xml:space="preserve">Infrastructure: </w:t>
      </w:r>
      <w:r>
        <w:rPr>
          <w:rFonts w:ascii="Calibri" w:hAnsi="Calibri"/>
          <w:color w:val="1A1A1A"/>
          <w:sz w:val="19"/>
        </w:rPr>
        <w:t>Linux, Docker, Distributed Systems, Enterprise Networking</w:t>
      </w:r>
    </w:p>
    <w:p>
      <w:pPr>
        <w:spacing w:before="20" w:after="20"/>
      </w:pPr>
      <w:r>
        <w:rPr>
          <w:rFonts w:ascii="Calibri" w:hAnsi="Calibri"/>
          <w:b/>
          <w:color w:val="1A1A1A"/>
          <w:sz w:val="19"/>
        </w:rPr>
        <w:t xml:space="preserve">AI/LLM: </w:t>
      </w:r>
      <w:r>
        <w:rPr>
          <w:rFonts w:ascii="Calibri" w:hAnsi="Calibri"/>
          <w:color w:val="1A1A1A"/>
          <w:sz w:val="19"/>
        </w:rPr>
        <w:t>RAG pipelines, embeddings, vector search, local model deployment</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