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0"/>
        <w:jc w:val="center"/>
      </w:pPr>
      <w:r>
        <w:rPr>
          <w:rFonts w:ascii="Calibri" w:hAnsi="Calibri"/>
          <w:color w:val="444444"/>
          <w:sz w:val="17"/>
        </w:rPr>
        <w:t>Springfield, VA  ·  571-215-8218  ·  salil.maniktahla@gmail.com  ·  linkedin.com/in/salilmaniktahla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val="0"/>
          <w:i w:val="0"/>
          <w:color w:val="1A1A1A"/>
          <w:sz w:val="19"/>
        </w:rPr>
        <w:t>Senior technology leader with 25+ years of experience leading functional business applications, IT quality, and enterprise systems across finance, HR, regulatory, and operational domains. Currently directing data architecture and reporting for the Department of Veterans Affairs' Financial Management Business Transformation program, managing complex ERP integrations and regulatory compliance requirements. Proven track record of establishing IT governance frameworks, leading cross-functional application portfolios, and partnering with business executives to align technology investments with organizational priorities. Experienced in regulated environments with government security clearances and enterprise compliance programs.</w:t>
      </w:r>
    </w:p>
    <w:p>
      <w:pPr>
        <w:spacing w:before="220" w:after="60"/>
        <w:pBdr>
          <w:bottom w:val="single" w:sz="4" w:space="3" w:color="2E5090"/>
        </w:pBdr>
      </w:pPr>
      <w:r>
        <w:rPr>
          <w:rFonts w:ascii="Calibri" w:hAnsi="Calibri"/>
          <w:b/>
          <w:color w:val="2E5090"/>
          <w:sz w:val="21"/>
        </w:rPr>
        <w:t>CORE CAPABILITIES</w:t>
      </w:r>
    </w:p>
    <w:p>
      <w:pPr>
        <w:spacing w:before="30" w:after="30"/>
      </w:pPr>
      <w:r>
        <w:rPr>
          <w:rFonts w:ascii="Calibri" w:hAnsi="Calibri"/>
          <w:b w:val="0"/>
          <w:i w:val="0"/>
          <w:color w:val="1A1A1A"/>
          <w:sz w:val="19"/>
        </w:rPr>
        <w:t>Functional Application Leadership</w:t>
      </w:r>
    </w:p>
    <w:p>
      <w:pPr>
        <w:pStyle w:val="ListBullet"/>
        <w:spacing w:before="10" w:after="10"/>
      </w:pPr>
      <w:r>
        <w:rPr>
          <w:rFonts w:ascii="Calibri" w:hAnsi="Calibri"/>
          <w:color w:val="1A1A1A"/>
          <w:sz w:val="19"/>
        </w:rPr>
        <w:t>End-to-end application portfolio management across Finance, HR, R&amp;D, and regulatory domains</w:t>
      </w:r>
    </w:p>
    <w:p>
      <w:pPr>
        <w:pStyle w:val="ListBullet"/>
        <w:spacing w:before="10" w:after="10"/>
      </w:pPr>
      <w:r>
        <w:rPr>
          <w:rFonts w:ascii="Calibri" w:hAnsi="Calibri"/>
          <w:color w:val="1A1A1A"/>
          <w:sz w:val="19"/>
        </w:rPr>
        <w:t>Business application strategy, roadmapping, and lifecycle management</w:t>
      </w:r>
    </w:p>
    <w:p>
      <w:pPr>
        <w:pStyle w:val="ListBullet"/>
        <w:spacing w:before="10" w:after="10"/>
      </w:pPr>
      <w:r>
        <w:rPr>
          <w:rFonts w:ascii="Calibri" w:hAnsi="Calibri"/>
          <w:color w:val="1A1A1A"/>
          <w:sz w:val="19"/>
        </w:rPr>
        <w:t>Cross-functional stakeholder partnership and requirements definition</w:t>
      </w:r>
    </w:p>
    <w:p>
      <w:pPr>
        <w:spacing w:before="30" w:after="30"/>
      </w:pPr>
      <w:r>
        <w:rPr>
          <w:rFonts w:ascii="Calibri" w:hAnsi="Calibri"/>
          <w:b w:val="0"/>
          <w:i w:val="0"/>
          <w:color w:val="1A1A1A"/>
          <w:sz w:val="19"/>
        </w:rPr>
        <w:t>IT Quality &amp; Compliance</w:t>
      </w:r>
    </w:p>
    <w:p>
      <w:pPr>
        <w:pStyle w:val="ListBullet"/>
        <w:spacing w:before="10" w:after="10"/>
      </w:pPr>
      <w:r>
        <w:rPr>
          <w:rFonts w:ascii="Calibri" w:hAnsi="Calibri"/>
          <w:color w:val="1A1A1A"/>
          <w:sz w:val="19"/>
        </w:rPr>
        <w:t>IT governance framework development and policy establishment</w:t>
      </w:r>
    </w:p>
    <w:p>
      <w:pPr>
        <w:pStyle w:val="ListBullet"/>
        <w:spacing w:before="10" w:after="10"/>
      </w:pPr>
      <w:r>
        <w:rPr>
          <w:rFonts w:ascii="Calibri" w:hAnsi="Calibri"/>
          <w:color w:val="1A1A1A"/>
          <w:sz w:val="19"/>
        </w:rPr>
        <w:t>Audit readiness, documentation management, and control implementation</w:t>
      </w:r>
    </w:p>
    <w:p>
      <w:pPr>
        <w:pStyle w:val="ListBullet"/>
        <w:spacing w:before="10" w:after="10"/>
      </w:pPr>
      <w:r>
        <w:rPr>
          <w:rFonts w:ascii="Calibri" w:hAnsi="Calibri"/>
          <w:color w:val="1A1A1A"/>
          <w:sz w:val="19"/>
        </w:rPr>
        <w:t>Computer system validation and change control processes</w:t>
      </w:r>
    </w:p>
    <w:p>
      <w:pPr>
        <w:spacing w:before="30" w:after="30"/>
      </w:pPr>
      <w:r>
        <w:rPr>
          <w:rFonts w:ascii="Calibri" w:hAnsi="Calibri"/>
          <w:b w:val="0"/>
          <w:i w:val="0"/>
          <w:color w:val="1A1A1A"/>
          <w:sz w:val="19"/>
        </w:rPr>
        <w:t>Enterprise Systems Integration</w:t>
      </w:r>
    </w:p>
    <w:p>
      <w:pPr>
        <w:pStyle w:val="ListBullet"/>
        <w:spacing w:before="10" w:after="10"/>
      </w:pPr>
      <w:r>
        <w:rPr>
          <w:rFonts w:ascii="Calibri" w:hAnsi="Calibri"/>
          <w:color w:val="1A1A1A"/>
          <w:sz w:val="19"/>
        </w:rPr>
        <w:t>ERP implementation and integration (Workday, iFAMS, legacy systems)</w:t>
      </w:r>
    </w:p>
    <w:p>
      <w:pPr>
        <w:pStyle w:val="ListBullet"/>
        <w:spacing w:before="10" w:after="10"/>
      </w:pPr>
      <w:r>
        <w:rPr>
          <w:rFonts w:ascii="Calibri" w:hAnsi="Calibri"/>
          <w:color w:val="1A1A1A"/>
          <w:sz w:val="19"/>
        </w:rPr>
        <w:t>Data pipelines, system integration, and platform rationalization</w:t>
      </w:r>
    </w:p>
    <w:p>
      <w:pPr>
        <w:pStyle w:val="ListBullet"/>
        <w:spacing w:before="10" w:after="10"/>
      </w:pPr>
      <w:r>
        <w:rPr>
          <w:rFonts w:ascii="Calibri" w:hAnsi="Calibri"/>
          <w:color w:val="1A1A1A"/>
          <w:sz w:val="19"/>
        </w:rPr>
        <w:t>Application portfolio optimization and complexity reduction</w:t>
      </w:r>
    </w:p>
    <w:p>
      <w:pPr>
        <w:spacing w:before="30" w:after="30"/>
      </w:pPr>
      <w:r>
        <w:rPr>
          <w:rFonts w:ascii="Calibri" w:hAnsi="Calibri"/>
          <w:b w:val="0"/>
          <w:i w:val="0"/>
          <w:color w:val="1A1A1A"/>
          <w:sz w:val="19"/>
        </w:rPr>
        <w:t>Leadership &amp; Partnership</w:t>
      </w:r>
    </w:p>
    <w:p>
      <w:pPr>
        <w:pStyle w:val="ListBullet"/>
        <w:spacing w:before="10" w:after="10"/>
      </w:pPr>
      <w:r>
        <w:rPr>
          <w:rFonts w:ascii="Calibri" w:hAnsi="Calibri"/>
          <w:color w:val="1A1A1A"/>
          <w:sz w:val="19"/>
        </w:rPr>
        <w:t>Team leadership across technical and business functions</w:t>
      </w:r>
    </w:p>
    <w:p>
      <w:pPr>
        <w:pStyle w:val="ListBullet"/>
        <w:spacing w:before="10" w:after="10"/>
      </w:pPr>
      <w:r>
        <w:rPr>
          <w:rFonts w:ascii="Calibri" w:hAnsi="Calibri"/>
          <w:color w:val="1A1A1A"/>
          <w:sz w:val="19"/>
        </w:rPr>
        <w:t>Executive partnership and business-IT alignment</w:t>
      </w:r>
    </w:p>
    <w:p>
      <w:pPr>
        <w:pStyle w:val="ListBullet"/>
        <w:spacing w:before="10" w:after="10"/>
      </w:pPr>
      <w:r>
        <w:rPr>
          <w:rFonts w:ascii="Calibri" w:hAnsi="Calibri"/>
          <w:color w:val="1A1A1A"/>
          <w:sz w:val="19"/>
        </w:rPr>
        <w:t>Vendor management and external service provider oversight</w:t>
      </w:r>
    </w:p>
    <w:p>
      <w:pPr>
        <w:spacing w:before="220" w:after="60"/>
        <w:pBdr>
          <w:bottom w:val="single" w:sz="4" w:space="3" w:color="2E5090"/>
        </w:pBdr>
      </w:pPr>
      <w:r>
        <w:rPr>
          <w:rFonts w:ascii="Calibri" w:hAnsi="Calibri"/>
          <w:b/>
          <w:color w:val="2E5090"/>
          <w:sz w:val="21"/>
        </w:rPr>
        <w:t>PROFESSIONAL EXPERIENCE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w:t>
        <w:tab/>
        <w:t>Sep 2021 – Present</w:t>
      </w:r>
    </w:p>
    <w:p>
      <w:pPr>
        <w:pStyle w:val="ListBullet"/>
        <w:spacing w:before="10" w:after="10"/>
      </w:pPr>
      <w:r>
        <w:rPr>
          <w:rFonts w:ascii="Calibri" w:hAnsi="Calibri"/>
          <w:color w:val="1A1A1A"/>
          <w:sz w:val="19"/>
        </w:rPr>
        <w:t>Lead functional application strategy and systems integration for VA's enterprise Financial Management Business Transformation program, supporting finance, acquisition, and regulatory compliance functions</w:t>
      </w:r>
    </w:p>
    <w:p>
      <w:pPr>
        <w:pStyle w:val="ListBullet"/>
        <w:spacing w:before="10" w:after="10"/>
      </w:pPr>
      <w:r>
        <w:rPr>
          <w:rFonts w:ascii="Calibri" w:hAnsi="Calibri"/>
          <w:color w:val="1A1A1A"/>
          <w:sz w:val="19"/>
        </w:rPr>
        <w:t>Oversee technology solutions supporting regulatory affairs and quality operations, ensuring systems meet government compliance obligations and audit readiness standards</w:t>
      </w:r>
    </w:p>
    <w:p>
      <w:pPr>
        <w:pStyle w:val="ListBullet"/>
        <w:spacing w:before="10" w:after="10"/>
      </w:pPr>
      <w:r>
        <w:rPr>
          <w:rFonts w:ascii="Calibri" w:hAnsi="Calibri"/>
          <w:color w:val="1A1A1A"/>
          <w:sz w:val="19"/>
        </w:rPr>
        <w:t>Partner directly with business leaders across finance and acquisition functions to define roadmaps and improve fit-for-purpose use of enterprise applications</w:t>
      </w:r>
    </w:p>
    <w:p>
      <w:pPr>
        <w:pStyle w:val="ListBullet"/>
        <w:spacing w:before="10" w:after="10"/>
      </w:pPr>
      <w:r>
        <w:rPr>
          <w:rFonts w:ascii="Calibri" w:hAnsi="Calibri"/>
          <w:color w:val="1A1A1A"/>
          <w:sz w:val="19"/>
        </w:rPr>
        <w:t>Establish and maintain policies, standards, and controls for IT compliance in regulated and business-critical systems</w:t>
      </w:r>
    </w:p>
    <w:p>
      <w:pPr>
        <w:pStyle w:val="ListBullet"/>
        <w:spacing w:before="10" w:after="10"/>
      </w:pPr>
      <w:r>
        <w:rPr>
          <w:rFonts w:ascii="Calibri" w:hAnsi="Calibri"/>
          <w:color w:val="1A1A1A"/>
          <w:sz w:val="19"/>
        </w:rPr>
        <w:t>Drive application rationalization and integration across multiple legacy and modernized platforms to reduce complexity and improve business supportability</w:t>
      </w:r>
    </w:p>
    <w:p>
      <w:pPr>
        <w:pStyle w:val="ListBullet"/>
        <w:spacing w:before="10" w:after="10"/>
      </w:pPr>
      <w:r>
        <w:rPr>
          <w:rFonts w:ascii="Calibri" w:hAnsi="Calibri"/>
          <w:color w:val="1A1A1A"/>
          <w:sz w:val="19"/>
        </w:rPr>
        <w:t>Lead cross-functional delivery coordination across finance, IT, and regulatory stakeholders</w:t>
      </w:r>
    </w:p>
    <w:p>
      <w:pPr>
        <w:spacing w:before="160" w:after="0"/>
      </w:pPr>
      <w:r>
        <w:rPr>
          <w:rFonts w:ascii="Calibri" w:hAnsi="Calibri"/>
          <w:b/>
          <w:color w:val="1A1A1A"/>
          <w:sz w:val="21"/>
        </w:rPr>
        <w:t>Business Intelligence Analyst – Finance</w:t>
      </w:r>
    </w:p>
    <w:p>
      <w:pPr>
        <w:spacing w:before="10" w:after="40"/>
        <w:tabs>
          <w:tab w:val="right" w:pos="10440"/>
        </w:tabs>
      </w:pPr>
      <w:r>
        <w:rPr>
          <w:rFonts w:ascii="Calibri" w:hAnsi="Calibri"/>
          <w:i/>
          <w:color w:val="444444"/>
          <w:sz w:val="19"/>
        </w:rPr>
        <w:t>Howard University</w:t>
      </w:r>
      <w:r>
        <w:rPr>
          <w:rFonts w:ascii="Calibri" w:hAnsi="Calibri"/>
        </w:rPr>
        <w:tab/>
      </w:r>
      <w:r>
        <w:rPr>
          <w:rFonts w:ascii="Calibri" w:hAnsi="Calibri"/>
          <w:color w:val="444444"/>
          <w:sz w:val="19"/>
        </w:rPr>
        <w:t>Apr 2020 – Jul 2024</w:t>
      </w:r>
    </w:p>
    <w:p>
      <w:pPr>
        <w:pStyle w:val="ListBullet"/>
        <w:spacing w:before="10" w:after="10"/>
      </w:pPr>
      <w:r>
        <w:rPr>
          <w:rFonts w:ascii="Calibri" w:hAnsi="Calibri"/>
          <w:color w:val="1A1A1A"/>
          <w:sz w:val="19"/>
        </w:rPr>
        <w:t>Served as key technology leader in multi-million-dollar Workday ERP implementation, leading functional application strategy across Finance and HR domains during executive transition period</w:t>
      </w:r>
    </w:p>
    <w:p>
      <w:pPr>
        <w:pStyle w:val="ListBullet"/>
        <w:spacing w:before="10" w:after="10"/>
      </w:pPr>
      <w:r>
        <w:rPr>
          <w:rFonts w:ascii="Calibri" w:hAnsi="Calibri"/>
          <w:color w:val="1A1A1A"/>
          <w:sz w:val="19"/>
        </w:rPr>
        <w:t>Established and led Data Governance initiative, defining policies, standards, and implementation strategy for enterprise data management</w:t>
      </w:r>
    </w:p>
    <w:p>
      <w:pPr>
        <w:pStyle w:val="ListBullet"/>
        <w:spacing w:before="10" w:after="10"/>
      </w:pPr>
      <w:r>
        <w:rPr>
          <w:rFonts w:ascii="Calibri" w:hAnsi="Calibri"/>
          <w:color w:val="1A1A1A"/>
          <w:sz w:val="19"/>
        </w:rPr>
        <w:t>Partnered directly with CFO and Deputy CFO to align business application portfolio with organizational priorities and regulatory requirements</w:t>
      </w:r>
    </w:p>
    <w:p>
      <w:pPr>
        <w:pStyle w:val="ListBullet"/>
        <w:spacing w:before="10" w:after="10"/>
      </w:pPr>
      <w:r>
        <w:rPr>
          <w:rFonts w:ascii="Calibri" w:hAnsi="Calibri"/>
          <w:color w:val="1A1A1A"/>
          <w:sz w:val="19"/>
        </w:rPr>
        <w:t>Led application lifecycle management for enterprise BI and financial systems, ensuring audit readiness and compliance documentation</w:t>
      </w:r>
    </w:p>
    <w:p>
      <w:pPr>
        <w:pStyle w:val="ListBullet"/>
        <w:spacing w:before="10" w:after="10"/>
      </w:pPr>
      <w:r>
        <w:rPr>
          <w:rFonts w:ascii="Calibri" w:hAnsi="Calibri"/>
          <w:color w:val="1A1A1A"/>
          <w:sz w:val="19"/>
        </w:rPr>
        <w:t>Designed and implemented enterprise application architecture supporting finance, HR, and operational functions</w:t>
      </w:r>
    </w:p>
    <w:p>
      <w:pPr>
        <w:pStyle w:val="ListBullet"/>
        <w:spacing w:before="10" w:after="10"/>
      </w:pPr>
      <w:r>
        <w:rPr>
          <w:rFonts w:ascii="Calibri" w:hAnsi="Calibri"/>
          <w:color w:val="1A1A1A"/>
          <w:sz w:val="19"/>
        </w:rPr>
        <w:t>Drove process maturity, workflow automation, and operational efficiency improvements within corporate functions</w:t>
      </w:r>
    </w:p>
    <w:p>
      <w:pPr>
        <w:spacing w:before="30" w:after="30"/>
      </w:pPr>
      <w:r>
        <w:rPr>
          <w:rFonts w:ascii="Calibri" w:hAnsi="Calibri"/>
          <w:b/>
          <w:i w:val="0"/>
          <w:color w:val="1A1A1A"/>
          <w:sz w:val="19"/>
        </w:rPr>
        <w:t>BI Partner / Strategist (Independent Consultant)</w:t>
      </w:r>
    </w:p>
    <w:p>
      <w:pPr>
        <w:spacing w:before="30" w:after="30"/>
      </w:pPr>
      <w:r>
        <w:rPr>
          <w:rFonts w:ascii="Calibri" w:hAnsi="Calibri"/>
          <w:b w:val="0"/>
          <w:i w:val="0"/>
          <w:color w:val="1A1A1A"/>
          <w:sz w:val="19"/>
        </w:rPr>
        <w:t>Multiple Clients</w:t>
        <w:tab/>
        <w:t>Jul 2016 – Mar 2020</w:t>
      </w:r>
    </w:p>
    <w:p>
      <w:pPr>
        <w:pStyle w:val="ListBullet"/>
        <w:spacing w:before="10" w:after="10"/>
      </w:pPr>
      <w:r>
        <w:rPr>
          <w:rFonts w:ascii="Calibri" w:hAnsi="Calibri"/>
          <w:color w:val="1A1A1A"/>
          <w:sz w:val="19"/>
        </w:rPr>
        <w:t>Led functional application deployments and IT quality programs across multiple regulated and enterprise environments</w:t>
      </w:r>
    </w:p>
    <w:p>
      <w:pPr>
        <w:pStyle w:val="ListBullet"/>
        <w:spacing w:before="10" w:after="10"/>
      </w:pPr>
      <w:r>
        <w:rPr>
          <w:rFonts w:ascii="Calibri" w:hAnsi="Calibri"/>
          <w:color w:val="1A1A1A"/>
          <w:sz w:val="19"/>
        </w:rPr>
        <w:t>Established service-oriented operating models and quality-driven practices for business application support</w:t>
      </w:r>
    </w:p>
    <w:p>
      <w:pPr>
        <w:pStyle w:val="ListBullet"/>
        <w:spacing w:before="10" w:after="10"/>
      </w:pPr>
      <w:r>
        <w:rPr>
          <w:rFonts w:ascii="Calibri" w:hAnsi="Calibri"/>
          <w:color w:val="1A1A1A"/>
          <w:sz w:val="19"/>
        </w:rPr>
        <w:t>Managed external vendors and service providers supporting enterprise application portfolios</w:t>
      </w:r>
    </w:p>
    <w:p>
      <w:pPr>
        <w:pStyle w:val="ListBullet"/>
        <w:spacing w:before="10" w:after="10"/>
      </w:pPr>
      <w:r>
        <w:rPr>
          <w:rFonts w:ascii="Calibri" w:hAnsi="Calibri"/>
          <w:color w:val="1A1A1A"/>
          <w:sz w:val="19"/>
        </w:rPr>
        <w:t>Defined and maintained documentation standards, change control processes, and audit readiness procedures</w:t>
      </w:r>
    </w:p>
    <w:p>
      <w:pPr>
        <w:pStyle w:val="ListBullet"/>
        <w:spacing w:before="10" w:after="10"/>
      </w:pPr>
      <w:r>
        <w:rPr>
          <w:rFonts w:ascii="Calibri" w:hAnsi="Calibri"/>
          <w:color w:val="1A1A1A"/>
          <w:sz w:val="19"/>
        </w:rPr>
        <w:t>Mentored technical teams and supported cross-functional delivery in dynamic transformation environments</w:t>
      </w:r>
    </w:p>
    <w:p>
      <w:pPr>
        <w:spacing w:before="160" w:after="0"/>
      </w:pPr>
      <w:r>
        <w:rPr>
          <w:rFonts w:ascii="Calibri" w:hAnsi="Calibri"/>
          <w:b/>
          <w:color w:val="1A1A1A"/>
          <w:sz w:val="21"/>
        </w:rPr>
        <w:t>Co-Founder / CEO &amp; Technical Director</w:t>
      </w:r>
    </w:p>
    <w:p>
      <w:pPr>
        <w:spacing w:before="10" w:after="40"/>
        <w:tabs>
          <w:tab w:val="right" w:pos="10440"/>
        </w:tabs>
      </w:pPr>
      <w:r>
        <w:rPr>
          <w:rFonts w:ascii="Calibri" w:hAnsi="Calibri"/>
          <w:i/>
          <w:color w:val="444444"/>
          <w:sz w:val="19"/>
        </w:rPr>
        <w:t>Urban Evolution</w:t>
      </w:r>
      <w:r>
        <w:rPr>
          <w:rFonts w:ascii="Calibri" w:hAnsi="Calibri"/>
        </w:rPr>
        <w:tab/>
      </w:r>
      <w:r>
        <w:rPr>
          <w:rFonts w:ascii="Calibri" w:hAnsi="Calibri"/>
          <w:color w:val="444444"/>
          <w:sz w:val="19"/>
        </w:rPr>
        <w:t>Apr 2010 – Apr 2020</w:t>
      </w:r>
    </w:p>
    <w:p>
      <w:pPr>
        <w:pStyle w:val="ListBullet"/>
        <w:spacing w:before="10" w:after="10"/>
      </w:pPr>
      <w:r>
        <w:rPr>
          <w:rFonts w:ascii="Calibri" w:hAnsi="Calibri"/>
          <w:color w:val="1A1A1A"/>
          <w:sz w:val="19"/>
        </w:rPr>
        <w:t>Led enterprise application strategy across HR, Finance, Operations, and Marketing functions for multi-location business</w:t>
      </w:r>
    </w:p>
    <w:p>
      <w:pPr>
        <w:pStyle w:val="ListBullet"/>
        <w:spacing w:before="10" w:after="10"/>
      </w:pPr>
      <w:r>
        <w:rPr>
          <w:rFonts w:ascii="Calibri" w:hAnsi="Calibri"/>
          <w:color w:val="1A1A1A"/>
          <w:sz w:val="19"/>
        </w:rPr>
        <w:t>Established IT governance frameworks, policies, and operational controls supporting business-critical systems</w:t>
      </w:r>
    </w:p>
    <w:p>
      <w:pPr>
        <w:pStyle w:val="ListBullet"/>
        <w:spacing w:before="10" w:after="10"/>
      </w:pPr>
      <w:r>
        <w:rPr>
          <w:rFonts w:ascii="Calibri" w:hAnsi="Calibri"/>
          <w:color w:val="1A1A1A"/>
          <w:sz w:val="19"/>
        </w:rPr>
        <w:t>Managed application portfolio lifecycle including system rationalization, integration, and vendor management</w:t>
      </w:r>
    </w:p>
    <w:p>
      <w:pPr>
        <w:pStyle w:val="ListBullet"/>
        <w:spacing w:before="10" w:after="10"/>
      </w:pPr>
      <w:r>
        <w:rPr>
          <w:rFonts w:ascii="Calibri" w:hAnsi="Calibri"/>
          <w:color w:val="1A1A1A"/>
          <w:sz w:val="19"/>
        </w:rPr>
        <w:t>Drove business-IT alignment through direct partnership with functional leaders and operational stakeholders</w:t>
      </w:r>
    </w:p>
    <w:p>
      <w:pPr>
        <w:spacing w:before="160" w:after="0"/>
      </w:pPr>
      <w:r>
        <w:rPr>
          <w:rFonts w:ascii="Calibri" w:hAnsi="Calibri"/>
          <w:b/>
          <w:color w:val="1A1A1A"/>
          <w:sz w:val="21"/>
        </w:rPr>
        <w:t>VitalSpring Technologies</w:t>
      </w:r>
    </w:p>
    <w:p>
      <w:pPr>
        <w:spacing w:before="10" w:after="40"/>
        <w:tabs>
          <w:tab w:val="right" w:pos="10440"/>
        </w:tabs>
      </w:pPr>
      <w:r>
        <w:rPr>
          <w:rFonts w:ascii="Calibri" w:hAnsi="Calibri"/>
          <w:i/>
          <w:color w:val="444444"/>
          <w:sz w:val="19"/>
        </w:rPr>
        <w:t>BI Senior Manager</w:t>
      </w:r>
      <w:r>
        <w:rPr>
          <w:rFonts w:ascii="Calibri" w:hAnsi="Calibri"/>
        </w:rPr>
        <w:tab/>
      </w:r>
      <w:r>
        <w:rPr>
          <w:rFonts w:ascii="Calibri" w:hAnsi="Calibri"/>
          <w:color w:val="444444"/>
          <w:sz w:val="19"/>
        </w:rPr>
        <w:t>May 2008 – Jul 2016</w:t>
      </w:r>
    </w:p>
    <w:p>
      <w:pPr>
        <w:pStyle w:val="ListBullet"/>
        <w:spacing w:before="10" w:after="10"/>
      </w:pPr>
      <w:r>
        <w:rPr>
          <w:rFonts w:ascii="Calibri" w:hAnsi="Calibri"/>
          <w:color w:val="1A1A1A"/>
          <w:sz w:val="19"/>
        </w:rPr>
        <w:t>Product Manager for enterprise BI and analytics applications supporting healthcare supply chain operations</w:t>
      </w:r>
    </w:p>
    <w:p>
      <w:pPr>
        <w:pStyle w:val="ListBullet"/>
        <w:spacing w:before="10" w:after="10"/>
      </w:pPr>
      <w:r>
        <w:rPr>
          <w:rFonts w:ascii="Calibri" w:hAnsi="Calibri"/>
          <w:color w:val="1A1A1A"/>
          <w:sz w:val="19"/>
        </w:rPr>
        <w:t>Led cross-functional teams delivering functional applications aligned with business requirements and compliance obligations</w:t>
      </w:r>
    </w:p>
    <w:p>
      <w:pPr>
        <w:pStyle w:val="ListBullet"/>
        <w:spacing w:before="10" w:after="10"/>
      </w:pPr>
      <w:r>
        <w:rPr>
          <w:rFonts w:ascii="Calibri" w:hAnsi="Calibri"/>
          <w:color w:val="1A1A1A"/>
          <w:sz w:val="19"/>
        </w:rPr>
        <w:t>Established change control processes and documentation standards supporting regulated technology environments</w:t>
      </w:r>
    </w:p>
    <w:p>
      <w:pPr>
        <w:pStyle w:val="ListBullet"/>
        <w:spacing w:before="10" w:after="10"/>
      </w:pPr>
      <w:r>
        <w:rPr>
          <w:rFonts w:ascii="Calibri" w:hAnsi="Calibri"/>
          <w:color w:val="1A1A1A"/>
          <w:sz w:val="19"/>
        </w:rPr>
        <w:t>Drove application enhancement and lifecycle management initiatives, delivering $70K+ in operational savings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i w:val="0"/>
          <w:color w:val="1A1A1A"/>
          <w:sz w:val="19"/>
        </w:rPr>
        <w:t>Senior BI Consultant – Claraview (Teradata), 2006–2008</w:t>
      </w:r>
    </w:p>
    <w:p>
      <w:pPr>
        <w:pStyle w:val="ListBullet"/>
        <w:spacing w:before="10" w:after="10"/>
      </w:pPr>
      <w:r>
        <w:rPr>
          <w:rFonts w:ascii="Calibri" w:hAnsi="Calibri"/>
          <w:color w:val="1A1A1A"/>
          <w:sz w:val="19"/>
        </w:rPr>
        <w:t>Technical architect for 25,000-user enterprise application platform (Lowe's); established governance frameworks and operational controls</w:t>
      </w:r>
    </w:p>
    <w:p>
      <w:pPr>
        <w:spacing w:before="30" w:after="30"/>
      </w:pPr>
      <w:r>
        <w:rPr>
          <w:rFonts w:ascii="Calibri" w:hAnsi="Calibri"/>
          <w:b w:val="0"/>
          <w:i w:val="0"/>
          <w:color w:val="1A1A1A"/>
          <w:sz w:val="19"/>
        </w:rPr>
        <w:t>IT Specialist – U.S. Environmental Protection Agency, 2002–2005</w:t>
      </w:r>
    </w:p>
    <w:p>
      <w:pPr>
        <w:pStyle w:val="ListBullet"/>
        <w:spacing w:before="10" w:after="10"/>
      </w:pPr>
      <w:r>
        <w:rPr>
          <w:rFonts w:ascii="Calibri" w:hAnsi="Calibri"/>
          <w:color w:val="1A1A1A"/>
          <w:sz w:val="19"/>
        </w:rPr>
        <w:t>Led team of 6 supporting functional applications for regulatory and environmental compliance operations</w:t>
      </w:r>
    </w:p>
    <w:p>
      <w:pPr>
        <w:pStyle w:val="ListBullet"/>
        <w:spacing w:before="10" w:after="10"/>
      </w:pPr>
      <w:r>
        <w:rPr>
          <w:rFonts w:ascii="Calibri" w:hAnsi="Calibri"/>
          <w:color w:val="1A1A1A"/>
          <w:sz w:val="19"/>
        </w:rPr>
        <w:t>Defined IT strategy and application roadmaps for National Center for Environmental Economics</w:t>
      </w:r>
    </w:p>
    <w:p>
      <w:pPr>
        <w:pStyle w:val="ListBullet"/>
        <w:spacing w:before="10" w:after="10"/>
      </w:pPr>
      <w:r>
        <w:rPr>
          <w:rFonts w:ascii="Calibri" w:hAnsi="Calibri"/>
          <w:color w:val="1A1A1A"/>
          <w:sz w:val="19"/>
        </w:rPr>
        <w:t>Maintained Public Trust security clearance and supported government audit requirements</w:t>
      </w:r>
    </w:p>
    <w:p>
      <w:pPr>
        <w:spacing w:before="30" w:after="30"/>
      </w:pPr>
      <w:r>
        <w:rPr>
          <w:rFonts w:ascii="Calibri" w:hAnsi="Calibri"/>
          <w:b w:val="0"/>
          <w:i w:val="0"/>
          <w:color w:val="1A1A1A"/>
          <w:sz w:val="19"/>
        </w:rPr>
        <w:t>Operations Manager – MicroStrategy, 1999–2001</w:t>
      </w:r>
    </w:p>
    <w:p>
      <w:pPr>
        <w:pStyle w:val="ListBullet"/>
        <w:spacing w:before="10" w:after="10"/>
      </w:pPr>
      <w:r>
        <w:rPr>
          <w:rFonts w:ascii="Calibri" w:hAnsi="Calibri"/>
          <w:color w:val="1A1A1A"/>
          <w:sz w:val="19"/>
        </w:rPr>
        <w:t>Led engineering teams supporting enterprise analytics applications and business intelligence platforms</w:t>
      </w:r>
    </w:p>
    <w:p>
      <w:pPr>
        <w:pStyle w:val="ListBullet"/>
        <w:spacing w:before="10" w:after="10"/>
      </w:pPr>
      <w:r>
        <w:rPr>
          <w:rFonts w:ascii="Calibri" w:hAnsi="Calibri"/>
          <w:color w:val="1A1A1A"/>
          <w:sz w:val="19"/>
        </w:rPr>
        <w:t>Established vendor management processes and service provider oversight, achieving $312K annual savings</w:t>
      </w:r>
    </w:p>
    <w:p>
      <w:pPr>
        <w:spacing w:before="220" w:after="60"/>
        <w:pBdr>
          <w:bottom w:val="single" w:sz="4" w:space="3" w:color="2E5090"/>
        </w:pBdr>
      </w:pPr>
      <w:r>
        <w:rPr>
          <w:rFonts w:ascii="Calibri" w:hAnsi="Calibri"/>
          <w:b/>
          <w:color w:val="2E5090"/>
          <w:sz w:val="21"/>
        </w:rPr>
        <w:t>SELECTED SYSTEMS &amp; INNOVATION</w:t>
      </w:r>
    </w:p>
    <w:p>
      <w:pPr>
        <w:pStyle w:val="ListBullet"/>
        <w:spacing w:before="10" w:after="10"/>
      </w:pPr>
      <w:r>
        <w:rPr>
          <w:rFonts w:ascii="Calibri" w:hAnsi="Calibri"/>
          <w:color w:val="1A1A1A"/>
          <w:sz w:val="19"/>
        </w:rPr>
        <w:t>Designed enterprise application architecture combining functional systems, workflow automation, and compliance monitoring</w:t>
      </w:r>
    </w:p>
    <w:p>
      <w:pPr>
        <w:pStyle w:val="ListBullet"/>
        <w:spacing w:before="10" w:after="10"/>
      </w:pPr>
      <w:r>
        <w:rPr>
          <w:rFonts w:ascii="Calibri" w:hAnsi="Calibri"/>
          <w:color w:val="1A1A1A"/>
          <w:sz w:val="19"/>
        </w:rPr>
        <w:t>Built integrated platforms supporting cross-functional business processes with audit logging and documentation management</w:t>
      </w:r>
    </w:p>
    <w:p>
      <w:pPr>
        <w:pStyle w:val="ListBullet"/>
        <w:spacing w:before="10" w:after="10"/>
      </w:pPr>
      <w:r>
        <w:rPr>
          <w:rFonts w:ascii="Calibri" w:hAnsi="Calibri"/>
          <w:color w:val="1A1A1A"/>
          <w:sz w:val="19"/>
        </w:rPr>
        <w:t>Established IT governance frameworks for regulated environments with role-based access and change control</w:t>
      </w:r>
    </w:p>
    <w:p>
      <w:pPr>
        <w:pStyle w:val="ListBullet"/>
        <w:spacing w:before="10" w:after="10"/>
      </w:pPr>
      <w:r>
        <w:rPr>
          <w:rFonts w:ascii="Calibri" w:hAnsi="Calibri"/>
          <w:color w:val="1A1A1A"/>
          <w:sz w:val="19"/>
        </w:rPr>
        <w:t>Operate advanced technical infrastructure supporting enterprise application development and testing environments</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Enterprise Applications: </w:t>
      </w:r>
      <w:r>
        <w:rPr>
          <w:rFonts w:ascii="Calibri" w:hAnsi="Calibri"/>
          <w:color w:val="1A1A1A"/>
          <w:sz w:val="19"/>
        </w:rPr>
        <w:t>ERP systems (Workday, iFAMS), Business Intelligence platforms, Workflow automation</w:t>
      </w:r>
    </w:p>
    <w:p>
      <w:pPr>
        <w:spacing w:before="20" w:after="20"/>
      </w:pPr>
      <w:r>
        <w:rPr>
          <w:rFonts w:ascii="Calibri" w:hAnsi="Calibri"/>
          <w:b/>
          <w:color w:val="1A1A1A"/>
          <w:sz w:val="19"/>
        </w:rPr>
        <w:t xml:space="preserve">Data &amp; Integration: </w:t>
      </w:r>
      <w:r>
        <w:rPr>
          <w:rFonts w:ascii="Calibri" w:hAnsi="Calibri"/>
          <w:color w:val="1A1A1A"/>
          <w:sz w:val="19"/>
        </w:rPr>
        <w:t>SQL, Python, ETL/ELT, Data Modeling, System Integration, API development</w:t>
      </w:r>
    </w:p>
    <w:p>
      <w:pPr>
        <w:spacing w:before="20" w:after="20"/>
      </w:pPr>
      <w:r>
        <w:rPr>
          <w:rFonts w:ascii="Calibri" w:hAnsi="Calibri"/>
          <w:b/>
          <w:color w:val="1A1A1A"/>
          <w:sz w:val="19"/>
        </w:rPr>
        <w:t xml:space="preserve">IT Governance: </w:t>
      </w:r>
      <w:r>
        <w:rPr>
          <w:rFonts w:ascii="Calibri" w:hAnsi="Calibri"/>
          <w:color w:val="1A1A1A"/>
          <w:sz w:val="19"/>
        </w:rPr>
        <w:t>Change control, Documentation management, Audit readiness, Compliance frameworks</w:t>
      </w:r>
    </w:p>
    <w:p>
      <w:pPr>
        <w:spacing w:before="20" w:after="20"/>
      </w:pPr>
      <w:r>
        <w:rPr>
          <w:rFonts w:ascii="Calibri" w:hAnsi="Calibri"/>
          <w:b/>
          <w:color w:val="1A1A1A"/>
          <w:sz w:val="19"/>
        </w:rPr>
        <w:t xml:space="preserve">Infrastructure: </w:t>
      </w:r>
      <w:r>
        <w:rPr>
          <w:rFonts w:ascii="Calibri" w:hAnsi="Calibri"/>
          <w:color w:val="1A1A1A"/>
          <w:sz w:val="19"/>
        </w:rPr>
        <w:t>Linux, Docker, Enterprise networking, Distributed systems, Cloud platforms (Azure)</w:t>
      </w:r>
    </w:p>
    <w:p>
      <w:pPr>
        <w:spacing w:before="20" w:after="20"/>
      </w:pPr>
      <w:r>
        <w:rPr>
          <w:rFonts w:ascii="Calibri" w:hAnsi="Calibri"/>
          <w:b/>
          <w:color w:val="1A1A1A"/>
          <w:sz w:val="19"/>
        </w:rPr>
        <w:t xml:space="preserve">Quality &amp; Validation: </w:t>
      </w:r>
      <w:r>
        <w:rPr>
          <w:rFonts w:ascii="Calibri" w:hAnsi="Calibri"/>
          <w:color w:val="1A1A1A"/>
          <w:sz w:val="19"/>
        </w:rPr>
        <w:t>Data validation, System testing, Process documentation, Risk management</w:t>
      </w:r>
    </w:p>
    <w:p>
      <w:pPr>
        <w:spacing w:before="220" w:after="60"/>
        <w:pBdr>
          <w:bottom w:val="single" w:sz="4" w:space="3" w:color="2E5090"/>
        </w:pBdr>
      </w:pPr>
      <w:r>
        <w:rPr>
          <w:rFonts w:ascii="Calibri" w:hAnsi="Calibri"/>
          <w:b/>
          <w:color w:val="2E5090"/>
          <w:sz w:val="21"/>
        </w:rPr>
        <w:t>CERTIFICATIONS &amp; EDUCATION</w:t>
      </w:r>
    </w:p>
    <w:p>
      <w:pPr>
        <w:spacing w:before="30" w:after="30"/>
      </w:pPr>
      <w:r>
        <w:rPr>
          <w:rFonts w:ascii="Calibri" w:hAnsi="Calibri"/>
          <w:b w:val="0"/>
          <w:i w:val="0"/>
          <w:color w:val="1A1A1A"/>
          <w:sz w:val="19"/>
        </w:rPr>
        <w:t>B.A., Washington University in St. Louis</w:t>
      </w:r>
    </w:p>
    <w:p>
      <w:pPr>
        <w:spacing w:before="30" w:after="30"/>
      </w:pPr>
      <w:r>
        <w:rPr>
          <w:rFonts w:ascii="Calibri" w:hAnsi="Calibri"/>
          <w:b w:val="0"/>
          <w:i w:val="0"/>
          <w:color w:val="1A1A1A"/>
          <w:sz w:val="19"/>
        </w:rPr>
        <w:t>CISSP  ·  Certified Scrum Master  ·  Tableau Certified Professional  ·  MicroStrategy Certified Developer</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