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47C0" w:rsidRPr="00387AC1" w:rsidRDefault="005E45FB">
      <w:pPr>
        <w:pStyle w:val="MainTitle"/>
      </w:pPr>
      <w:r w:rsidRPr="005E45FB">
        <w:t>ANÁLISE DE PERDAS EM CONVERSOR MATRICIAL DIRETO</w:t>
      </w:r>
    </w:p>
    <w:p w:rsidR="006D47C0" w:rsidRPr="00387AC1" w:rsidRDefault="006D47C0">
      <w:pPr>
        <w:pStyle w:val="AuthorsNames"/>
        <w:rPr>
          <w:bCs/>
          <w:sz w:val="28"/>
          <w:szCs w:val="20"/>
        </w:rPr>
      </w:pPr>
    </w:p>
    <w:p w:rsidR="006D47C0" w:rsidRPr="00FA6399" w:rsidRDefault="005E45FB">
      <w:pPr>
        <w:pStyle w:val="AuthorsNames"/>
      </w:pPr>
      <w:r w:rsidRPr="005E45FB">
        <w:t>Fábio C. Posser</w:t>
      </w:r>
      <w:r>
        <w:t>, Sérgio V. G.</w:t>
      </w:r>
      <w:r w:rsidRPr="005E45FB">
        <w:t xml:space="preserve"> Oliveira</w:t>
      </w:r>
    </w:p>
    <w:p w:rsidR="001F6473" w:rsidRPr="00FA6399" w:rsidRDefault="005E45FB" w:rsidP="005E45FB">
      <w:pPr>
        <w:pStyle w:val="AuthorsInformation"/>
      </w:pPr>
      <w:r w:rsidRPr="005E45FB">
        <w:t>Universidade do Estado de Santa Catarina – UDESC</w:t>
      </w:r>
      <w:r>
        <w:t>,</w:t>
      </w:r>
      <w:r w:rsidRPr="005E45FB">
        <w:t xml:space="preserve"> Joinville</w:t>
      </w:r>
      <w:r>
        <w:t xml:space="preserve"> –</w:t>
      </w:r>
      <w:r w:rsidRPr="005E45FB">
        <w:t xml:space="preserve"> SC</w:t>
      </w:r>
      <w:r>
        <w:t>,</w:t>
      </w:r>
      <w:r w:rsidRPr="005E45FB">
        <w:t xml:space="preserve"> Bra</w:t>
      </w:r>
      <w:r>
        <w:t>s</w:t>
      </w:r>
      <w:r w:rsidRPr="005E45FB">
        <w:t>il</w:t>
      </w:r>
    </w:p>
    <w:p w:rsidR="006D47C0" w:rsidRPr="00387AC1" w:rsidRDefault="006D47C0">
      <w:pPr>
        <w:pStyle w:val="AuthorsInformation"/>
      </w:pPr>
      <w:proofErr w:type="gramStart"/>
      <w:r w:rsidRPr="00FA6399">
        <w:t>e-mail</w:t>
      </w:r>
      <w:proofErr w:type="gramEnd"/>
      <w:r w:rsidRPr="00FA6399">
        <w:t xml:space="preserve">: </w:t>
      </w:r>
      <w:r w:rsidR="005E45FB" w:rsidRPr="005E45FB">
        <w:t>fabiocposser@gmail.com</w:t>
      </w:r>
      <w:r w:rsidR="005E45FB">
        <w:t xml:space="preserve">, </w:t>
      </w:r>
      <w:r w:rsidR="005E45FB" w:rsidRPr="005E45FB">
        <w:t>sergio.oliveira@udesc.br</w:t>
      </w:r>
    </w:p>
    <w:p w:rsidR="006D47C0" w:rsidRDefault="006D47C0">
      <w:pPr>
        <w:pStyle w:val="AuthorsInformation"/>
      </w:pPr>
    </w:p>
    <w:p w:rsidR="00A30ECC" w:rsidRDefault="00A30ECC">
      <w:pPr>
        <w:pStyle w:val="AuthorsInformation"/>
      </w:pPr>
    </w:p>
    <w:p w:rsidR="00A30ECC" w:rsidRDefault="00A30ECC">
      <w:pPr>
        <w:pStyle w:val="AuthorsInformation"/>
        <w:sectPr w:rsidR="00A30ECC">
          <w:footerReference w:type="even" r:id="rId8"/>
          <w:footerReference w:type="default" r:id="rId9"/>
          <w:footerReference w:type="first" r:id="rId10"/>
          <w:pgSz w:w="11905" w:h="16837"/>
          <w:pgMar w:top="1418" w:right="680" w:bottom="1418" w:left="1021" w:header="720" w:footer="709" w:gutter="0"/>
          <w:pgNumType w:fmt="lowerRoman"/>
          <w:cols w:space="720"/>
          <w:docGrid w:linePitch="360"/>
        </w:sectPr>
      </w:pPr>
    </w:p>
    <w:p w:rsidR="006D47C0" w:rsidRPr="00387AC1" w:rsidRDefault="006D47C0" w:rsidP="005E45FB">
      <w:pPr>
        <w:pStyle w:val="AbstractBody"/>
      </w:pPr>
      <w:r w:rsidRPr="00387AC1">
        <w:rPr>
          <w:i/>
        </w:rPr>
        <w:lastRenderedPageBreak/>
        <w:t xml:space="preserve">Resumo </w:t>
      </w:r>
      <w:r w:rsidR="00A20FFE" w:rsidRPr="00387AC1">
        <w:rPr>
          <w:i/>
        </w:rPr>
        <w:t>–</w:t>
      </w:r>
      <w:r w:rsidRPr="00387AC1">
        <w:rPr>
          <w:i/>
        </w:rPr>
        <w:t xml:space="preserve"> </w:t>
      </w:r>
      <w:r w:rsidR="005E45FB" w:rsidRPr="005E45FB">
        <w:t xml:space="preserve">Este artigo apresenta </w:t>
      </w:r>
      <w:r w:rsidR="00186FCC">
        <w:t>uma metodologia de estudo para</w:t>
      </w:r>
      <w:r w:rsidR="005E45FB" w:rsidRPr="005E45FB">
        <w:t xml:space="preserve"> cálculo de perdas em um conversor matricial convencional (configuração direta)</w:t>
      </w:r>
      <w:r w:rsidR="00186FCC">
        <w:t>.</w:t>
      </w:r>
      <w:r w:rsidR="005E45FB" w:rsidRPr="005E45FB">
        <w:t xml:space="preserve"> </w:t>
      </w:r>
      <w:r w:rsidR="00186FCC">
        <w:t>O</w:t>
      </w:r>
      <w:r w:rsidR="005E45FB" w:rsidRPr="005E45FB">
        <w:t xml:space="preserve"> objetivo </w:t>
      </w:r>
      <w:r w:rsidR="00186FCC">
        <w:t>é</w:t>
      </w:r>
      <w:r w:rsidR="005E45FB" w:rsidRPr="005E45FB">
        <w:t xml:space="preserve"> realizar o dimensionamento adequado do dissipador do conversor afim de obter a temperatura de junção do semicondutor abaixo do valor máximo de operação em regime. Uma análise sobre</w:t>
      </w:r>
      <w:r w:rsidR="005E45FB">
        <w:t xml:space="preserve"> o conversor matricial </w:t>
      </w:r>
      <w:r w:rsidR="00186FCC">
        <w:t>e o cálculo d</w:t>
      </w:r>
      <w:r w:rsidR="005E45FB">
        <w:t>e</w:t>
      </w:r>
      <w:r w:rsidR="005E45FB" w:rsidRPr="005E45FB">
        <w:t xml:space="preserve"> perdas em semicondutores ser</w:t>
      </w:r>
      <w:r w:rsidR="005E45FB">
        <w:t>ão</w:t>
      </w:r>
      <w:r w:rsidR="005E45FB" w:rsidRPr="005E45FB">
        <w:t xml:space="preserve"> apresentada</w:t>
      </w:r>
      <w:r w:rsidR="005E45FB">
        <w:t>s</w:t>
      </w:r>
      <w:r w:rsidR="005E45FB" w:rsidRPr="005E45FB">
        <w:t xml:space="preserve"> e </w:t>
      </w:r>
      <w:r w:rsidR="00186FCC">
        <w:t xml:space="preserve">assim como </w:t>
      </w:r>
      <w:r w:rsidR="005E45FB" w:rsidRPr="005E45FB">
        <w:t>o estudo de caso de um conversor matricial direto</w:t>
      </w:r>
      <w:r w:rsidR="005E45FB">
        <w:t>.</w:t>
      </w:r>
    </w:p>
    <w:p w:rsidR="006D47C0" w:rsidRPr="00387AC1" w:rsidRDefault="006D47C0">
      <w:pPr>
        <w:pStyle w:val="BioBody"/>
        <w:rPr>
          <w:iCs/>
          <w:szCs w:val="20"/>
        </w:rPr>
      </w:pPr>
    </w:p>
    <w:p w:rsidR="006D47C0" w:rsidRPr="00387AC1" w:rsidRDefault="006D47C0">
      <w:pPr>
        <w:pStyle w:val="KeywordsBody"/>
      </w:pPr>
      <w:r w:rsidRPr="00387AC1">
        <w:rPr>
          <w:i/>
        </w:rPr>
        <w:t>Palavras-Chave –</w:t>
      </w:r>
      <w:r w:rsidR="005E45FB">
        <w:t xml:space="preserve"> C</w:t>
      </w:r>
      <w:r w:rsidR="005E45FB" w:rsidRPr="005E45FB">
        <w:t>álculo de perdas</w:t>
      </w:r>
      <w:r w:rsidR="005E45FB">
        <w:t>,</w:t>
      </w:r>
      <w:r w:rsidR="005E45FB" w:rsidRPr="005E45FB">
        <w:t xml:space="preserve"> </w:t>
      </w:r>
      <w:r w:rsidR="005E45FB">
        <w:t>Conversor matricial direto.</w:t>
      </w:r>
    </w:p>
    <w:p w:rsidR="006D47C0" w:rsidRPr="00387AC1" w:rsidRDefault="006D47C0">
      <w:pPr>
        <w:pStyle w:val="KeywordsBody"/>
      </w:pPr>
    </w:p>
    <w:p w:rsidR="006D47C0" w:rsidRPr="000F6BDD" w:rsidRDefault="000F6BDD">
      <w:pPr>
        <w:pStyle w:val="MainTitleSecond"/>
        <w:rPr>
          <w:lang w:val="en-US"/>
        </w:rPr>
      </w:pPr>
      <w:r>
        <w:rPr>
          <w:lang w:val="en-US"/>
        </w:rPr>
        <w:t>Losses analysi</w:t>
      </w:r>
      <w:r w:rsidRPr="000F6BDD">
        <w:rPr>
          <w:lang w:val="en-US"/>
        </w:rPr>
        <w:t>s in direct matrix converter</w:t>
      </w:r>
    </w:p>
    <w:p w:rsidR="006D47C0" w:rsidRPr="000F6BDD" w:rsidRDefault="006D47C0">
      <w:pPr>
        <w:pStyle w:val="AbstractBody"/>
        <w:rPr>
          <w:i/>
          <w:lang w:val="en-US"/>
        </w:rPr>
      </w:pPr>
    </w:p>
    <w:p w:rsidR="000F6BDD" w:rsidRDefault="006D47C0" w:rsidP="00F97891">
      <w:pPr>
        <w:pStyle w:val="AbstractBody"/>
        <w:rPr>
          <w:lang w:val="en-US"/>
        </w:rPr>
      </w:pPr>
      <w:r w:rsidRPr="000F6BDD">
        <w:rPr>
          <w:i/>
          <w:lang w:val="en-US"/>
        </w:rPr>
        <w:t>Abstract –</w:t>
      </w:r>
      <w:r w:rsidR="005E45FB" w:rsidRPr="000F6BDD">
        <w:rPr>
          <w:lang w:val="en-US"/>
        </w:rPr>
        <w:t xml:space="preserve"> </w:t>
      </w:r>
      <w:r w:rsidR="000F6BDD" w:rsidRPr="000F6BDD">
        <w:rPr>
          <w:lang w:val="en-US"/>
        </w:rPr>
        <w:t>This paper</w:t>
      </w:r>
      <w:r w:rsidR="000F6BDD">
        <w:rPr>
          <w:lang w:val="en-US"/>
        </w:rPr>
        <w:t xml:space="preserve"> present an overview of power losses</w:t>
      </w:r>
      <w:r w:rsidR="00CB440C">
        <w:rPr>
          <w:lang w:val="en-US"/>
        </w:rPr>
        <w:t xml:space="preserve"> in matrix converter (direct configuration)</w:t>
      </w:r>
      <w:r w:rsidR="000A79F5">
        <w:rPr>
          <w:lang w:val="en-US"/>
        </w:rPr>
        <w:t xml:space="preserve">. The purpose of this paper is design properly the size of the </w:t>
      </w:r>
      <w:proofErr w:type="spellStart"/>
      <w:r w:rsidR="000A79F5">
        <w:rPr>
          <w:lang w:val="en-US"/>
        </w:rPr>
        <w:t>heatsink</w:t>
      </w:r>
      <w:proofErr w:type="spellEnd"/>
      <w:r w:rsidR="000A79F5">
        <w:rPr>
          <w:lang w:val="en-US"/>
        </w:rPr>
        <w:t xml:space="preserve"> in order to</w:t>
      </w:r>
      <w:r w:rsidR="00F97891">
        <w:rPr>
          <w:lang w:val="en-US"/>
        </w:rPr>
        <w:t xml:space="preserve"> keep</w:t>
      </w:r>
      <w:r w:rsidR="00CB440C">
        <w:rPr>
          <w:lang w:val="en-US"/>
        </w:rPr>
        <w:t xml:space="preserve"> the semiconductor junction temperature below the maximum values in steady state</w:t>
      </w:r>
      <w:r w:rsidR="00F97891">
        <w:rPr>
          <w:lang w:val="en-US"/>
        </w:rPr>
        <w:t xml:space="preserve"> operation</w:t>
      </w:r>
      <w:r w:rsidR="00CB440C">
        <w:rPr>
          <w:lang w:val="en-US"/>
        </w:rPr>
        <w:t>. A</w:t>
      </w:r>
      <w:r w:rsidR="00F97891">
        <w:rPr>
          <w:lang w:val="en-US"/>
        </w:rPr>
        <w:t>n</w:t>
      </w:r>
      <w:r w:rsidR="00CB440C">
        <w:rPr>
          <w:lang w:val="en-US"/>
        </w:rPr>
        <w:t xml:space="preserve"> analysis of </w:t>
      </w:r>
      <w:r w:rsidR="00F97891">
        <w:rPr>
          <w:lang w:val="en-US"/>
        </w:rPr>
        <w:t>a</w:t>
      </w:r>
      <w:r w:rsidR="00CB440C">
        <w:rPr>
          <w:lang w:val="en-US"/>
        </w:rPr>
        <w:t xml:space="preserve"> matrix converter and losses in semiconductors </w:t>
      </w:r>
      <w:proofErr w:type="gramStart"/>
      <w:r w:rsidR="00CB440C">
        <w:rPr>
          <w:lang w:val="en-US"/>
        </w:rPr>
        <w:t>will be presented</w:t>
      </w:r>
      <w:proofErr w:type="gramEnd"/>
      <w:r w:rsidR="00CB440C">
        <w:rPr>
          <w:lang w:val="en-US"/>
        </w:rPr>
        <w:t xml:space="preserve"> </w:t>
      </w:r>
      <w:r w:rsidR="00F97891">
        <w:rPr>
          <w:lang w:val="en-US"/>
        </w:rPr>
        <w:t>as well as a</w:t>
      </w:r>
      <w:r w:rsidR="00CB440C">
        <w:rPr>
          <w:lang w:val="en-US"/>
        </w:rPr>
        <w:t xml:space="preserve"> case study </w:t>
      </w:r>
      <w:r w:rsidR="00F97891">
        <w:rPr>
          <w:lang w:val="en-US"/>
        </w:rPr>
        <w:t>with</w:t>
      </w:r>
      <w:r w:rsidR="00CB440C">
        <w:rPr>
          <w:lang w:val="en-US"/>
        </w:rPr>
        <w:t xml:space="preserve"> a direct matrix converter.</w:t>
      </w:r>
    </w:p>
    <w:p w:rsidR="006D47C0" w:rsidRPr="00387AC1" w:rsidRDefault="00A3700A">
      <w:pPr>
        <w:pStyle w:val="AbstractBody"/>
        <w:rPr>
          <w:i/>
          <w:szCs w:val="20"/>
          <w:lang w:val="en-US"/>
        </w:rPr>
      </w:pPr>
      <w:r w:rsidRPr="00A3700A">
        <w:rPr>
          <w:rStyle w:val="Refdenotaderodap"/>
          <w:i/>
          <w:szCs w:val="20"/>
          <w:lang w:val="en-US"/>
        </w:rPr>
        <w:footnoteReference w:customMarkFollows="1" w:id="1"/>
        <w:sym w:font="Symbol" w:char="F020"/>
      </w:r>
    </w:p>
    <w:p w:rsidR="00AF3AE6" w:rsidRDefault="006D47C0" w:rsidP="00191089">
      <w:pPr>
        <w:pStyle w:val="Default"/>
        <w:ind w:firstLine="227"/>
        <w:jc w:val="both"/>
        <w:rPr>
          <w:b/>
          <w:bCs/>
          <w:color w:val="auto"/>
          <w:sz w:val="20"/>
          <w:szCs w:val="20"/>
          <w:lang w:val="en-US"/>
        </w:rPr>
      </w:pPr>
      <w:r w:rsidRPr="00CB440C">
        <w:rPr>
          <w:b/>
          <w:bCs/>
          <w:i/>
          <w:color w:val="auto"/>
          <w:sz w:val="20"/>
          <w:szCs w:val="20"/>
          <w:lang w:val="en-US"/>
        </w:rPr>
        <w:t xml:space="preserve">Keywords </w:t>
      </w:r>
      <w:r w:rsidR="00A20FFE" w:rsidRPr="00CB440C">
        <w:rPr>
          <w:i/>
          <w:lang w:val="en-US"/>
        </w:rPr>
        <w:t>–</w:t>
      </w:r>
      <w:r w:rsidR="00AF3AE6" w:rsidRPr="00CB440C">
        <w:rPr>
          <w:b/>
          <w:bCs/>
          <w:color w:val="auto"/>
          <w:sz w:val="20"/>
          <w:szCs w:val="20"/>
          <w:lang w:val="en-US"/>
        </w:rPr>
        <w:t xml:space="preserve"> </w:t>
      </w:r>
      <w:r w:rsidR="00CB440C" w:rsidRPr="00CB440C">
        <w:rPr>
          <w:b/>
          <w:bCs/>
          <w:color w:val="auto"/>
          <w:sz w:val="20"/>
          <w:szCs w:val="20"/>
          <w:lang w:val="en-US"/>
        </w:rPr>
        <w:t>Losses Calculation</w:t>
      </w:r>
      <w:r w:rsidR="005E45FB" w:rsidRPr="00CB440C">
        <w:rPr>
          <w:b/>
          <w:bCs/>
          <w:color w:val="auto"/>
          <w:sz w:val="20"/>
          <w:szCs w:val="20"/>
          <w:lang w:val="en-US"/>
        </w:rPr>
        <w:t xml:space="preserve">, </w:t>
      </w:r>
      <w:r w:rsidR="00CB440C" w:rsidRPr="00CB440C">
        <w:rPr>
          <w:b/>
          <w:bCs/>
          <w:color w:val="auto"/>
          <w:sz w:val="20"/>
          <w:szCs w:val="20"/>
          <w:lang w:val="en-US"/>
        </w:rPr>
        <w:t>Direct matrix converter</w:t>
      </w:r>
      <w:r w:rsidR="00CB440C">
        <w:rPr>
          <w:b/>
          <w:bCs/>
          <w:color w:val="auto"/>
          <w:sz w:val="20"/>
          <w:szCs w:val="20"/>
          <w:lang w:val="en-US"/>
        </w:rPr>
        <w:t>.</w:t>
      </w:r>
    </w:p>
    <w:p w:rsidR="006D47C0" w:rsidRPr="005E45FB" w:rsidRDefault="006D47C0">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lang w:val="en-US"/>
        </w:rPr>
      </w:pPr>
    </w:p>
    <w:p w:rsidR="006D47C0" w:rsidRPr="00387AC1" w:rsidRDefault="007D4BD6" w:rsidP="007D4BD6">
      <w:pPr>
        <w:pStyle w:val="Ttulo1"/>
        <w:tabs>
          <w:tab w:val="clear" w:pos="432"/>
          <w:tab w:val="num" w:pos="0"/>
        </w:tabs>
        <w:ind w:left="0" w:firstLine="0"/>
        <w:jc w:val="center"/>
        <w:rPr>
          <w:b w:val="0"/>
          <w:bCs/>
          <w:sz w:val="20"/>
        </w:rPr>
      </w:pPr>
      <w:r>
        <w:rPr>
          <w:b w:val="0"/>
          <w:bCs/>
          <w:sz w:val="20"/>
        </w:rPr>
        <w:t xml:space="preserve">I. </w:t>
      </w:r>
      <w:r w:rsidR="006D47C0" w:rsidRPr="00387AC1">
        <w:rPr>
          <w:b w:val="0"/>
          <w:bCs/>
          <w:sz w:val="20"/>
        </w:rPr>
        <w:t>INTRODUÇÃO</w:t>
      </w:r>
    </w:p>
    <w:p w:rsidR="006D47C0" w:rsidRDefault="006D47C0">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070C92" w:rsidRDefault="00292303" w:rsidP="007F4AF8">
      <w:pPr>
        <w:pStyle w:val="TextBody"/>
      </w:pPr>
      <w:r>
        <w:t>O conversor matricial é um arranjo de interruptores semicondutores controlados que conecta diretamente a fonte trifásica à carga trifásica [1].</w:t>
      </w:r>
    </w:p>
    <w:p w:rsidR="00070C92" w:rsidRPr="00387AC1" w:rsidRDefault="007F4AF8" w:rsidP="00070C92">
      <w:pPr>
        <w:pStyle w:val="TextBody"/>
      </w:pPr>
      <w:r>
        <w:t xml:space="preserve">Nos conversores matriciais, genericamente, um número qualquer de entradas pode ser diretamente interligado com um número qualquer de saídas, utilizando interruptores bidirecionais, conforme apresentado </w:t>
      </w:r>
      <w:r w:rsidRPr="007F4AF8">
        <w:t xml:space="preserve">na </w:t>
      </w:r>
      <w:r w:rsidRPr="007F4AF8">
        <w:fldChar w:fldCharType="begin"/>
      </w:r>
      <w:r w:rsidRPr="007F4AF8">
        <w:instrText xml:space="preserve"> REF _Ref436565271 \h  \* MERGEFORMAT </w:instrText>
      </w:r>
      <w:r w:rsidRPr="007F4AF8">
        <w:fldChar w:fldCharType="separate"/>
      </w:r>
      <w:r w:rsidR="00A96DD5" w:rsidRPr="00A96DD5">
        <w:rPr>
          <w:color w:val="000000" w:themeColor="text1"/>
        </w:rPr>
        <w:t xml:space="preserve">Fig. </w:t>
      </w:r>
      <w:r w:rsidR="00A96DD5" w:rsidRPr="00A96DD5">
        <w:rPr>
          <w:noProof/>
          <w:color w:val="000000" w:themeColor="text1"/>
        </w:rPr>
        <w:t>1</w:t>
      </w:r>
      <w:r w:rsidRPr="007F4AF8">
        <w:fldChar w:fldCharType="end"/>
      </w:r>
      <w:r>
        <w:t xml:space="preserve"> [2]. Como características </w:t>
      </w:r>
      <w:r w:rsidR="00070C92">
        <w:t>deste arranjo</w:t>
      </w:r>
      <w:r>
        <w:t xml:space="preserve"> de semicondutores </w:t>
      </w:r>
      <w:r w:rsidR="00B04EAA">
        <w:t>é possível</w:t>
      </w:r>
      <w:r>
        <w:t xml:space="preserve"> citar:</w:t>
      </w:r>
      <w:r w:rsidR="00070C92" w:rsidRPr="00070C92">
        <w:t xml:space="preserve"> </w:t>
      </w:r>
    </w:p>
    <w:p w:rsidR="00070C92" w:rsidRPr="00387AC1" w:rsidRDefault="00070C92" w:rsidP="00070C92">
      <w:pPr>
        <w:pStyle w:val="TextBody"/>
        <w:numPr>
          <w:ilvl w:val="0"/>
          <w:numId w:val="3"/>
        </w:numPr>
        <w:tabs>
          <w:tab w:val="clear" w:pos="947"/>
          <w:tab w:val="num" w:pos="426"/>
          <w:tab w:val="left" w:pos="2556"/>
        </w:tabs>
        <w:ind w:left="426"/>
      </w:pPr>
      <w:r w:rsidRPr="00070C92">
        <w:t>A entrada e saída do conversor não podem ser fonte de tensão ou corrente simultaneamente</w:t>
      </w:r>
      <w:r>
        <w:t>;</w:t>
      </w:r>
    </w:p>
    <w:p w:rsidR="00070C92" w:rsidRDefault="00070C92" w:rsidP="00070C92">
      <w:pPr>
        <w:pStyle w:val="TextBody"/>
        <w:numPr>
          <w:ilvl w:val="0"/>
          <w:numId w:val="3"/>
        </w:numPr>
        <w:tabs>
          <w:tab w:val="clear" w:pos="947"/>
          <w:tab w:val="num" w:pos="426"/>
          <w:tab w:val="left" w:pos="2556"/>
        </w:tabs>
        <w:ind w:left="426"/>
      </w:pPr>
      <w:r>
        <w:t>Caso a entrada seja fonte de tensão, a saída deve ser uma fonte de corrente e vice-versa</w:t>
      </w:r>
      <w:r w:rsidRPr="00387AC1">
        <w:t>;</w:t>
      </w:r>
    </w:p>
    <w:p w:rsidR="00070C92" w:rsidRPr="00387AC1" w:rsidRDefault="00070C92" w:rsidP="00070C92">
      <w:pPr>
        <w:pStyle w:val="TextBody"/>
        <w:numPr>
          <w:ilvl w:val="0"/>
          <w:numId w:val="3"/>
        </w:numPr>
        <w:tabs>
          <w:tab w:val="clear" w:pos="947"/>
          <w:tab w:val="num" w:pos="426"/>
          <w:tab w:val="left" w:pos="2556"/>
        </w:tabs>
        <w:ind w:left="426"/>
      </w:pPr>
      <w:r>
        <w:t>Fonte de tensão não pode ser colocada em curto-circuito, assim como fonte de corrente não podem ser colocada em circuito aberto.</w:t>
      </w:r>
    </w:p>
    <w:p w:rsidR="00191089" w:rsidRDefault="00191089" w:rsidP="00070C92">
      <w:pPr>
        <w:pStyle w:val="TextBody"/>
      </w:pPr>
    </w:p>
    <w:p w:rsidR="00070C92" w:rsidRDefault="00070C92" w:rsidP="00070C92">
      <w:pPr>
        <w:pStyle w:val="TextBody"/>
      </w:pPr>
      <w:r>
        <w:lastRenderedPageBreak/>
        <w:t xml:space="preserve">Dentre as características da topologia </w:t>
      </w:r>
      <w:r w:rsidR="00B04EAA">
        <w:t>é possível</w:t>
      </w:r>
      <w:r>
        <w:t xml:space="preserve"> citar que o conversor matricial é um conversor AC-AC, bidirecional, com fator de potência unitário, que gera tensão e frequência variável em sua saída a partir de uma fonte AC sem a utilização do link DC para armazenar energia.</w:t>
      </w:r>
    </w:p>
    <w:p w:rsidR="00A96DD5" w:rsidRDefault="00A96DD5" w:rsidP="00070C92">
      <w:pPr>
        <w:pStyle w:val="TextBody"/>
      </w:pPr>
    </w:p>
    <w:p w:rsidR="00A96DD5" w:rsidRDefault="00A96DD5" w:rsidP="00A96DD5">
      <w:pPr>
        <w:pStyle w:val="Figura"/>
        <w:keepNext/>
        <w:spacing w:before="0"/>
      </w:pPr>
      <w:r>
        <w:rPr>
          <w:noProof/>
          <w:lang w:eastAsia="pt-BR"/>
        </w:rPr>
        <w:drawing>
          <wp:inline distT="0" distB="0" distL="0" distR="0" wp14:anchorId="74B1E423" wp14:editId="678A0BCC">
            <wp:extent cx="2506644" cy="2242867"/>
            <wp:effectExtent l="0" t="0" r="8255"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085" cy="2270104"/>
                    </a:xfrm>
                    <a:prstGeom prst="rect">
                      <a:avLst/>
                    </a:prstGeom>
                  </pic:spPr>
                </pic:pic>
              </a:graphicData>
            </a:graphic>
          </wp:inline>
        </w:drawing>
      </w:r>
    </w:p>
    <w:p w:rsidR="00A96DD5" w:rsidRDefault="00A96DD5" w:rsidP="00A96DD5">
      <w:pPr>
        <w:pStyle w:val="Legenda"/>
        <w:jc w:val="both"/>
        <w:rPr>
          <w:b w:val="0"/>
          <w:i w:val="0"/>
          <w:color w:val="000000" w:themeColor="text1"/>
        </w:rPr>
      </w:pPr>
      <w:bookmarkStart w:id="0" w:name="_Ref436565271"/>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1</w:t>
      </w:r>
      <w:r w:rsidRPr="00A926C3">
        <w:rPr>
          <w:b w:val="0"/>
          <w:i w:val="0"/>
          <w:color w:val="000000" w:themeColor="text1"/>
        </w:rPr>
        <w:fldChar w:fldCharType="end"/>
      </w:r>
      <w:bookmarkEnd w:id="0"/>
      <w:r>
        <w:rPr>
          <w:b w:val="0"/>
          <w:i w:val="0"/>
          <w:color w:val="000000" w:themeColor="text1"/>
        </w:rPr>
        <w:t>.</w:t>
      </w:r>
      <w:r w:rsidRPr="00A926C3">
        <w:rPr>
          <w:b w:val="0"/>
          <w:i w:val="0"/>
          <w:color w:val="000000" w:themeColor="text1"/>
        </w:rPr>
        <w:t xml:space="preserve"> </w:t>
      </w:r>
      <w:r>
        <w:rPr>
          <w:b w:val="0"/>
          <w:i w:val="0"/>
          <w:color w:val="000000" w:themeColor="text1"/>
        </w:rPr>
        <w:t>Arranjo de uma matriz de comutação ideal</w:t>
      </w:r>
      <w:r w:rsidRPr="00A926C3">
        <w:rPr>
          <w:b w:val="0"/>
          <w:i w:val="0"/>
          <w:color w:val="000000" w:themeColor="text1"/>
        </w:rPr>
        <w:t>.</w:t>
      </w:r>
      <w:r>
        <w:rPr>
          <w:b w:val="0"/>
          <w:i w:val="0"/>
          <w:color w:val="000000" w:themeColor="text1"/>
        </w:rPr>
        <w:t xml:space="preserve"> [2]</w:t>
      </w:r>
    </w:p>
    <w:p w:rsidR="00A96DD5" w:rsidRDefault="00A96DD5" w:rsidP="00070C92">
      <w:pPr>
        <w:pStyle w:val="TextBody"/>
      </w:pPr>
    </w:p>
    <w:p w:rsidR="00070C92" w:rsidRDefault="00070C92" w:rsidP="007F4AF8">
      <w:pPr>
        <w:pStyle w:val="TextBody"/>
      </w:pPr>
      <w:r>
        <w:t xml:space="preserve">As duas principais classificações para conversores matriciais são: Conversor Matricial </w:t>
      </w:r>
      <w:r w:rsidR="0001291F">
        <w:t>Ind</w:t>
      </w:r>
      <w:r>
        <w:t>ireto (</w:t>
      </w:r>
      <w:r w:rsidR="0001291F">
        <w:t>I</w:t>
      </w:r>
      <w:r>
        <w:t>MC)</w:t>
      </w:r>
      <w:r w:rsidR="0001291F">
        <w:t xml:space="preserve"> e Conversor Matricial D</w:t>
      </w:r>
      <w:r>
        <w:t>ireto (</w:t>
      </w:r>
      <w:r w:rsidR="0001291F">
        <w:t>C</w:t>
      </w:r>
      <w:r>
        <w:t>MC).</w:t>
      </w:r>
    </w:p>
    <w:p w:rsidR="0001291F" w:rsidRPr="00387AC1" w:rsidRDefault="0001291F" w:rsidP="0001291F">
      <w:pPr>
        <w:pStyle w:val="TextBody"/>
      </w:pPr>
    </w:p>
    <w:p w:rsidR="0001291F" w:rsidRPr="00387AC1" w:rsidRDefault="0001291F" w:rsidP="0001291F">
      <w:pPr>
        <w:pStyle w:val="TextBody"/>
        <w:ind w:firstLine="0"/>
        <w:rPr>
          <w:i/>
          <w:iCs/>
        </w:rPr>
      </w:pPr>
      <w:r w:rsidRPr="00387AC1">
        <w:rPr>
          <w:i/>
          <w:iCs/>
        </w:rPr>
        <w:t xml:space="preserve">A. </w:t>
      </w:r>
      <w:r>
        <w:rPr>
          <w:i/>
          <w:iCs/>
        </w:rPr>
        <w:t>Conversor Matricial Indireto</w:t>
      </w:r>
    </w:p>
    <w:p w:rsidR="00191089" w:rsidRPr="0074547B" w:rsidRDefault="004E62B2" w:rsidP="00191089">
      <w:pPr>
        <w:pStyle w:val="TextBody"/>
      </w:pPr>
      <w:r>
        <w:t xml:space="preserve">O conversor matricial indireto recebe este nome porque, devido a sua topologia, é possível realizar uma analogia a um conversor com barramento CC, porém sem o elemento armazenador de </w:t>
      </w:r>
      <w:r w:rsidRPr="0074547B">
        <w:t>energia.</w:t>
      </w:r>
      <w:r w:rsidR="00A533C1" w:rsidRPr="0074547B">
        <w:t xml:space="preserve"> </w:t>
      </w:r>
      <w:r w:rsidR="0001291F" w:rsidRPr="0074547B">
        <w:t>A</w:t>
      </w:r>
      <w:r w:rsidR="00A533C1" w:rsidRPr="0074547B">
        <w:t xml:space="preserve"> </w:t>
      </w:r>
      <w:r w:rsidR="00A533C1" w:rsidRPr="0074547B">
        <w:fldChar w:fldCharType="begin"/>
      </w:r>
      <w:r w:rsidR="00A533C1" w:rsidRPr="0074547B">
        <w:instrText xml:space="preserve"> REF _Ref436687074 \h </w:instrText>
      </w:r>
      <w:r w:rsidR="0074547B" w:rsidRPr="0074547B">
        <w:instrText xml:space="preserve"> \* MERGEFORMAT </w:instrText>
      </w:r>
      <w:r w:rsidR="00A533C1" w:rsidRPr="0074547B">
        <w:fldChar w:fldCharType="separate"/>
      </w:r>
      <w:r w:rsidR="00A96DD5" w:rsidRPr="0074547B">
        <w:rPr>
          <w:color w:val="000000" w:themeColor="text1"/>
        </w:rPr>
        <w:t xml:space="preserve">Fig. </w:t>
      </w:r>
      <w:r w:rsidR="00A96DD5" w:rsidRPr="0074547B">
        <w:rPr>
          <w:noProof/>
          <w:color w:val="000000" w:themeColor="text1"/>
        </w:rPr>
        <w:t>2</w:t>
      </w:r>
      <w:r w:rsidR="00A533C1" w:rsidRPr="0074547B">
        <w:fldChar w:fldCharType="end"/>
      </w:r>
      <w:r w:rsidR="00A533C1" w:rsidRPr="0074547B">
        <w:t xml:space="preserve"> apresenta o circuito do conversor matricial indireto.</w:t>
      </w:r>
    </w:p>
    <w:p w:rsidR="00191089" w:rsidRPr="00387AC1" w:rsidRDefault="00191089" w:rsidP="00191089">
      <w:pPr>
        <w:pStyle w:val="TextBody"/>
      </w:pPr>
    </w:p>
    <w:p w:rsidR="00191089" w:rsidRPr="00387AC1" w:rsidRDefault="00191089" w:rsidP="00191089">
      <w:pPr>
        <w:pStyle w:val="TextBody"/>
        <w:ind w:firstLine="0"/>
        <w:rPr>
          <w:i/>
          <w:iCs/>
        </w:rPr>
      </w:pPr>
      <w:r>
        <w:rPr>
          <w:i/>
          <w:iCs/>
        </w:rPr>
        <w:t>B</w:t>
      </w:r>
      <w:r w:rsidRPr="00387AC1">
        <w:rPr>
          <w:i/>
          <w:iCs/>
        </w:rPr>
        <w:t xml:space="preserve">. </w:t>
      </w:r>
      <w:r>
        <w:rPr>
          <w:i/>
          <w:iCs/>
        </w:rPr>
        <w:t>Conversor Matricial Direto</w:t>
      </w:r>
    </w:p>
    <w:p w:rsidR="00191089" w:rsidRPr="0074547B" w:rsidRDefault="00191089" w:rsidP="00191089">
      <w:pPr>
        <w:pStyle w:val="TextBody"/>
      </w:pPr>
      <w:r>
        <w:t xml:space="preserve">O conversor matricial direto realiza a conexão das fontes de entrada direta e simultaneamente as </w:t>
      </w:r>
      <w:r w:rsidRPr="0074547B">
        <w:t xml:space="preserve">fontes de saída através de uma chave bidirecional, conforme mostra a </w:t>
      </w:r>
      <w:r w:rsidRPr="0074547B">
        <w:fldChar w:fldCharType="begin"/>
      </w:r>
      <w:r w:rsidRPr="0074547B">
        <w:instrText xml:space="preserve"> REF _Ref436687180 \h </w:instrText>
      </w:r>
      <w:r w:rsidR="0074547B" w:rsidRPr="0074547B">
        <w:instrText xml:space="preserve"> \* MERGEFORMAT </w:instrText>
      </w:r>
      <w:r w:rsidRPr="0074547B">
        <w:fldChar w:fldCharType="separate"/>
      </w:r>
      <w:r w:rsidRPr="0074547B">
        <w:rPr>
          <w:color w:val="000000" w:themeColor="text1"/>
        </w:rPr>
        <w:t xml:space="preserve">Fig. </w:t>
      </w:r>
      <w:r w:rsidRPr="0074547B">
        <w:rPr>
          <w:noProof/>
          <w:color w:val="000000" w:themeColor="text1"/>
        </w:rPr>
        <w:t>3</w:t>
      </w:r>
      <w:r w:rsidRPr="0074547B">
        <w:fldChar w:fldCharType="end"/>
      </w:r>
      <w:r w:rsidRPr="0074547B">
        <w:t xml:space="preserve">. </w:t>
      </w:r>
    </w:p>
    <w:p w:rsidR="00B04EAA" w:rsidRDefault="00B04EAA" w:rsidP="00B04EAA">
      <w:pPr>
        <w:pStyle w:val="TextBody"/>
      </w:pPr>
    </w:p>
    <w:p w:rsidR="00B04EAA" w:rsidRDefault="00B04EAA" w:rsidP="00B04EAA">
      <w:pPr>
        <w:pStyle w:val="TextBody"/>
      </w:pPr>
      <w:r>
        <w:t>Ambos os conversores possuem características bidirecionais, com tensão de saída e corrente de entrada senoidal, fator de potência unitário, porém, devido as características do conversor matricial direto e indireto apresentadas em [3] quando realizado o acionamento de máquinas elétricas, neste trabalho será utilizado a topologia do conversor matricial direto.</w:t>
      </w:r>
    </w:p>
    <w:p w:rsidR="00191089" w:rsidRDefault="00191089" w:rsidP="00191089">
      <w:pPr>
        <w:pStyle w:val="TextBody"/>
      </w:pPr>
    </w:p>
    <w:p w:rsidR="00A96DD5" w:rsidRDefault="00A96DD5" w:rsidP="00A96DD5">
      <w:pPr>
        <w:pStyle w:val="Figura"/>
        <w:keepNext/>
        <w:spacing w:before="0"/>
      </w:pPr>
      <w:r>
        <w:rPr>
          <w:noProof/>
          <w:lang w:eastAsia="pt-BR"/>
        </w:rPr>
        <w:lastRenderedPageBreak/>
        <w:drawing>
          <wp:inline distT="0" distB="0" distL="0" distR="0" wp14:anchorId="46441457" wp14:editId="3CCD2725">
            <wp:extent cx="2962881" cy="2087593"/>
            <wp:effectExtent l="0" t="0" r="9525"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6395" cy="2132344"/>
                    </a:xfrm>
                    <a:prstGeom prst="rect">
                      <a:avLst/>
                    </a:prstGeom>
                  </pic:spPr>
                </pic:pic>
              </a:graphicData>
            </a:graphic>
          </wp:inline>
        </w:drawing>
      </w:r>
    </w:p>
    <w:p w:rsidR="00A96DD5" w:rsidRDefault="00A96DD5" w:rsidP="00A96DD5">
      <w:pPr>
        <w:pStyle w:val="Legenda"/>
        <w:jc w:val="both"/>
        <w:rPr>
          <w:b w:val="0"/>
          <w:i w:val="0"/>
          <w:color w:val="000000" w:themeColor="text1"/>
        </w:rPr>
      </w:pPr>
      <w:bookmarkStart w:id="1" w:name="_Ref436687074"/>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2</w:t>
      </w:r>
      <w:r w:rsidRPr="00A926C3">
        <w:rPr>
          <w:b w:val="0"/>
          <w:i w:val="0"/>
          <w:color w:val="000000" w:themeColor="text1"/>
        </w:rPr>
        <w:fldChar w:fldCharType="end"/>
      </w:r>
      <w:bookmarkEnd w:id="1"/>
      <w:r>
        <w:rPr>
          <w:b w:val="0"/>
          <w:i w:val="0"/>
          <w:color w:val="000000" w:themeColor="text1"/>
        </w:rPr>
        <w:t>.</w:t>
      </w:r>
      <w:r w:rsidRPr="00A926C3">
        <w:rPr>
          <w:b w:val="0"/>
          <w:i w:val="0"/>
          <w:color w:val="000000" w:themeColor="text1"/>
        </w:rPr>
        <w:t xml:space="preserve"> </w:t>
      </w:r>
      <w:r>
        <w:rPr>
          <w:b w:val="0"/>
          <w:i w:val="0"/>
          <w:color w:val="000000" w:themeColor="text1"/>
        </w:rPr>
        <w:t>Conversor Matricial Indireto</w:t>
      </w:r>
      <w:r w:rsidRPr="00A926C3">
        <w:rPr>
          <w:b w:val="0"/>
          <w:i w:val="0"/>
          <w:color w:val="000000" w:themeColor="text1"/>
        </w:rPr>
        <w:t>.</w:t>
      </w:r>
      <w:r>
        <w:rPr>
          <w:b w:val="0"/>
          <w:i w:val="0"/>
          <w:color w:val="000000" w:themeColor="text1"/>
        </w:rPr>
        <w:t xml:space="preserve"> [2]</w:t>
      </w:r>
    </w:p>
    <w:p w:rsidR="00A96DD5" w:rsidRDefault="00A96DD5" w:rsidP="00A96DD5">
      <w:pPr>
        <w:pStyle w:val="Figura"/>
        <w:keepNext/>
        <w:spacing w:before="0"/>
      </w:pPr>
      <w:r>
        <w:rPr>
          <w:noProof/>
          <w:lang w:eastAsia="pt-BR"/>
        </w:rPr>
        <w:drawing>
          <wp:inline distT="0" distB="0" distL="0" distR="0" wp14:anchorId="1AC4D005" wp14:editId="0B6D034C">
            <wp:extent cx="2424023" cy="2112252"/>
            <wp:effectExtent l="0" t="0" r="0"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5314" cy="2122091"/>
                    </a:xfrm>
                    <a:prstGeom prst="rect">
                      <a:avLst/>
                    </a:prstGeom>
                  </pic:spPr>
                </pic:pic>
              </a:graphicData>
            </a:graphic>
          </wp:inline>
        </w:drawing>
      </w:r>
    </w:p>
    <w:p w:rsidR="00A96DD5" w:rsidRDefault="00A96DD5" w:rsidP="00A96DD5">
      <w:pPr>
        <w:pStyle w:val="Legenda"/>
        <w:jc w:val="both"/>
        <w:rPr>
          <w:b w:val="0"/>
          <w:i w:val="0"/>
          <w:color w:val="000000" w:themeColor="text1"/>
        </w:rPr>
      </w:pPr>
      <w:bookmarkStart w:id="2" w:name="_Ref436687180"/>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Pr>
          <w:b w:val="0"/>
          <w:i w:val="0"/>
          <w:noProof/>
          <w:color w:val="000000" w:themeColor="text1"/>
        </w:rPr>
        <w:t>3</w:t>
      </w:r>
      <w:r w:rsidRPr="00A926C3">
        <w:rPr>
          <w:b w:val="0"/>
          <w:i w:val="0"/>
          <w:color w:val="000000" w:themeColor="text1"/>
        </w:rPr>
        <w:fldChar w:fldCharType="end"/>
      </w:r>
      <w:bookmarkEnd w:id="2"/>
      <w:r>
        <w:rPr>
          <w:b w:val="0"/>
          <w:i w:val="0"/>
          <w:color w:val="000000" w:themeColor="text1"/>
        </w:rPr>
        <w:t>.</w:t>
      </w:r>
      <w:r w:rsidRPr="00A926C3">
        <w:rPr>
          <w:b w:val="0"/>
          <w:i w:val="0"/>
          <w:color w:val="000000" w:themeColor="text1"/>
        </w:rPr>
        <w:t xml:space="preserve"> </w:t>
      </w:r>
      <w:r>
        <w:rPr>
          <w:b w:val="0"/>
          <w:i w:val="0"/>
          <w:color w:val="000000" w:themeColor="text1"/>
        </w:rPr>
        <w:t>Conversor Matricial Direto</w:t>
      </w:r>
      <w:r w:rsidRPr="00A926C3">
        <w:rPr>
          <w:b w:val="0"/>
          <w:i w:val="0"/>
          <w:color w:val="000000" w:themeColor="text1"/>
        </w:rPr>
        <w:t>.</w:t>
      </w:r>
      <w:r>
        <w:rPr>
          <w:b w:val="0"/>
          <w:i w:val="0"/>
          <w:color w:val="000000" w:themeColor="text1"/>
        </w:rPr>
        <w:t xml:space="preserve"> [2]</w:t>
      </w:r>
    </w:p>
    <w:p w:rsidR="00070C92" w:rsidRDefault="00070C92" w:rsidP="00292303">
      <w:pPr>
        <w:pStyle w:val="TextBody"/>
      </w:pPr>
    </w:p>
    <w:p w:rsidR="00191089" w:rsidRDefault="00191089" w:rsidP="00191089">
      <w:pPr>
        <w:pStyle w:val="TextBody"/>
      </w:pPr>
      <w:r>
        <w:t>Desde o surgimento das pesquisas sobre conversores matriciais vários pontos foram abordados como modulação, topologias, diferentes comutações. Porém um dos pontos principais no desenvolvimento de um conversor estático em eletrônica de potência foi pouco abordado na literatura, o cálculo de perdas nos semicondutores através de uma forma analítica.</w:t>
      </w:r>
    </w:p>
    <w:p w:rsidR="00191089" w:rsidRPr="008126D0" w:rsidRDefault="00191089" w:rsidP="00191089">
      <w:pPr>
        <w:pStyle w:val="TextBody"/>
      </w:pPr>
      <w:r>
        <w:t>Desta maneira, este trabalho tem como objetivo apresentar uma revisão da proposta apresentada em [</w:t>
      </w:r>
      <w:r w:rsidR="00EA31FA">
        <w:t>4</w:t>
      </w:r>
      <w:r>
        <w:t xml:space="preserve">] para o cálculo de perdas em conversor matricial direto. Também será apresentado o estudo de caso de um conversor matricial direto com simulações térmicas para determinar a temperatura de junção </w:t>
      </w:r>
      <w:r w:rsidRPr="008126D0">
        <w:t>do semicondutor em regime de operação.</w:t>
      </w:r>
    </w:p>
    <w:p w:rsidR="00070C92" w:rsidRDefault="00070C92" w:rsidP="00070C92">
      <w:pPr>
        <w:pStyle w:val="TextBody"/>
      </w:pPr>
      <w:r w:rsidRPr="008126D0">
        <w:t xml:space="preserve">A </w:t>
      </w:r>
      <w:r w:rsidRPr="008126D0">
        <w:fldChar w:fldCharType="begin"/>
      </w:r>
      <w:r w:rsidRPr="008126D0">
        <w:instrText xml:space="preserve"> REF _Ref436686298 \h </w:instrText>
      </w:r>
      <w:r w:rsidR="008126D0" w:rsidRPr="008126D0">
        <w:instrText xml:space="preserve"> \* MERGEFORMAT </w:instrText>
      </w:r>
      <w:r w:rsidRPr="008126D0">
        <w:fldChar w:fldCharType="separate"/>
      </w:r>
      <w:r w:rsidR="00A96DD5" w:rsidRPr="008126D0">
        <w:rPr>
          <w:color w:val="000000" w:themeColor="text1"/>
        </w:rPr>
        <w:t xml:space="preserve">Fig. </w:t>
      </w:r>
      <w:r w:rsidR="00A96DD5" w:rsidRPr="008126D0">
        <w:rPr>
          <w:noProof/>
          <w:color w:val="000000" w:themeColor="text1"/>
        </w:rPr>
        <w:t>4</w:t>
      </w:r>
      <w:r w:rsidRPr="008126D0">
        <w:fldChar w:fldCharType="end"/>
      </w:r>
      <w:r w:rsidRPr="008126D0">
        <w:t xml:space="preserve"> apresenta</w:t>
      </w:r>
      <w:r>
        <w:t xml:space="preserve"> a estrutura básica do conversor a ser analisado. Nesta representação o conversor </w:t>
      </w:r>
      <w:r w:rsidR="00B04EAA">
        <w:t>está</w:t>
      </w:r>
      <w:r>
        <w:t xml:space="preserve"> divido em 3 módulos simétricos, conectados as fases de entrada e a uma fase de saída, identificados por SPTT1, SPTT2 e SPTT3 para facilitar a análise.</w:t>
      </w:r>
    </w:p>
    <w:p w:rsidR="00070C92" w:rsidRDefault="00070C92" w:rsidP="00070C92">
      <w:pPr>
        <w:pStyle w:val="TextBody"/>
      </w:pPr>
    </w:p>
    <w:p w:rsidR="007F4AF8" w:rsidRDefault="007F4AF8" w:rsidP="007F4AF8">
      <w:pPr>
        <w:pStyle w:val="Figura"/>
        <w:keepNext/>
        <w:spacing w:before="0"/>
      </w:pPr>
      <w:r w:rsidRPr="00A11C03">
        <w:rPr>
          <w:noProof/>
          <w:lang w:eastAsia="pt-BR"/>
        </w:rPr>
        <w:lastRenderedPageBreak/>
        <w:drawing>
          <wp:inline distT="0" distB="0" distL="0" distR="0" wp14:anchorId="142D5109" wp14:editId="298A8A02">
            <wp:extent cx="2976245" cy="3044825"/>
            <wp:effectExtent l="0" t="0" r="0" b="3175"/>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245" cy="3044825"/>
                    </a:xfrm>
                    <a:prstGeom prst="rect">
                      <a:avLst/>
                    </a:prstGeom>
                    <a:noFill/>
                    <a:ln>
                      <a:noFill/>
                    </a:ln>
                  </pic:spPr>
                </pic:pic>
              </a:graphicData>
            </a:graphic>
          </wp:inline>
        </w:drawing>
      </w:r>
    </w:p>
    <w:p w:rsidR="007F4AF8" w:rsidRPr="00A926C3" w:rsidRDefault="007F4AF8" w:rsidP="007F4AF8">
      <w:pPr>
        <w:pStyle w:val="Legenda"/>
        <w:jc w:val="both"/>
        <w:rPr>
          <w:b w:val="0"/>
          <w:i w:val="0"/>
          <w:color w:val="000000" w:themeColor="text1"/>
        </w:rPr>
      </w:pPr>
      <w:bookmarkStart w:id="3" w:name="_Ref436686298"/>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4</w:t>
      </w:r>
      <w:r w:rsidRPr="00A926C3">
        <w:rPr>
          <w:b w:val="0"/>
          <w:i w:val="0"/>
          <w:color w:val="000000" w:themeColor="text1"/>
        </w:rPr>
        <w:fldChar w:fldCharType="end"/>
      </w:r>
      <w:bookmarkEnd w:id="3"/>
      <w:r>
        <w:rPr>
          <w:b w:val="0"/>
          <w:i w:val="0"/>
          <w:color w:val="000000" w:themeColor="text1"/>
        </w:rPr>
        <w:t>.</w:t>
      </w:r>
      <w:r w:rsidRPr="00A926C3">
        <w:rPr>
          <w:b w:val="0"/>
          <w:i w:val="0"/>
          <w:color w:val="000000" w:themeColor="text1"/>
        </w:rPr>
        <w:t xml:space="preserve"> Estrutura básica do conversor matricial direto.</w:t>
      </w:r>
      <w:r w:rsidR="004E62B2">
        <w:rPr>
          <w:b w:val="0"/>
          <w:i w:val="0"/>
          <w:color w:val="000000" w:themeColor="text1"/>
        </w:rPr>
        <w:t xml:space="preserve"> [</w:t>
      </w:r>
      <w:r w:rsidR="00EA31FA">
        <w:rPr>
          <w:b w:val="0"/>
          <w:i w:val="0"/>
          <w:color w:val="000000" w:themeColor="text1"/>
        </w:rPr>
        <w:t>4</w:t>
      </w:r>
      <w:r w:rsidR="004E62B2">
        <w:rPr>
          <w:b w:val="0"/>
          <w:i w:val="0"/>
          <w:color w:val="000000" w:themeColor="text1"/>
        </w:rPr>
        <w:t>]</w:t>
      </w:r>
    </w:p>
    <w:p w:rsidR="00E8796F" w:rsidRDefault="00E8796F" w:rsidP="00A926C3">
      <w:pPr>
        <w:pStyle w:val="TextBody"/>
        <w:ind w:firstLine="0"/>
      </w:pPr>
    </w:p>
    <w:p w:rsidR="00A926C3" w:rsidRDefault="00A926C3" w:rsidP="00A926C3">
      <w:pPr>
        <w:pStyle w:val="TextBody"/>
      </w:pPr>
    </w:p>
    <w:p w:rsidR="00A926C3" w:rsidRPr="00387AC1" w:rsidRDefault="00A926C3" w:rsidP="00A926C3">
      <w:pPr>
        <w:pStyle w:val="Ttulo1"/>
        <w:tabs>
          <w:tab w:val="clear" w:pos="432"/>
          <w:tab w:val="num" w:pos="0"/>
        </w:tabs>
        <w:ind w:left="0" w:firstLine="0"/>
        <w:jc w:val="center"/>
        <w:rPr>
          <w:b w:val="0"/>
          <w:bCs/>
          <w:sz w:val="20"/>
        </w:rPr>
      </w:pPr>
      <w:r>
        <w:rPr>
          <w:b w:val="0"/>
          <w:bCs/>
          <w:sz w:val="20"/>
        </w:rPr>
        <w:t xml:space="preserve">II. </w:t>
      </w:r>
      <w:r w:rsidRPr="00B72E0A">
        <w:rPr>
          <w:b w:val="0"/>
          <w:bCs/>
          <w:sz w:val="20"/>
        </w:rPr>
        <w:t>PERDAS EM SEMICONDUTORES</w:t>
      </w:r>
    </w:p>
    <w:p w:rsidR="00A926C3" w:rsidRDefault="00A926C3" w:rsidP="00A926C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B72E0A" w:rsidRDefault="00B72E0A" w:rsidP="00B72E0A">
      <w:pPr>
        <w:pStyle w:val="Figura"/>
        <w:keepNext/>
        <w:tabs>
          <w:tab w:val="left" w:pos="210"/>
          <w:tab w:val="left" w:pos="278"/>
        </w:tabs>
        <w:spacing w:before="0"/>
        <w:ind w:firstLine="227"/>
        <w:jc w:val="both"/>
      </w:pPr>
      <w:r>
        <w:t>Um semicondutor em um conversor estático pode ser caracterizado por três estados básicos: condu</w:t>
      </w:r>
      <w:r w:rsidR="00B04EAA">
        <w:t>ção, bloqueio e comutação. Pode-se</w:t>
      </w:r>
      <w:r>
        <w:t xml:space="preserve"> modelar a perda nestes estados através da tensão e corrente no semicondutor. </w:t>
      </w:r>
    </w:p>
    <w:p w:rsidR="00B72E0A" w:rsidRPr="008126D0" w:rsidRDefault="00B72E0A" w:rsidP="00B72E0A">
      <w:pPr>
        <w:pStyle w:val="Figura"/>
        <w:keepNext/>
        <w:tabs>
          <w:tab w:val="left" w:pos="210"/>
          <w:tab w:val="left" w:pos="278"/>
        </w:tabs>
        <w:spacing w:before="0"/>
        <w:ind w:firstLine="227"/>
        <w:jc w:val="both"/>
      </w:pPr>
      <w:r>
        <w:t xml:space="preserve">Considerando a utilização de </w:t>
      </w:r>
      <w:proofErr w:type="spellStart"/>
      <w:r>
        <w:t>IGBT’s</w:t>
      </w:r>
      <w:proofErr w:type="spellEnd"/>
      <w:r>
        <w:t xml:space="preserve">, </w:t>
      </w:r>
      <w:r w:rsidR="00B04EAA">
        <w:t>é possível</w:t>
      </w:r>
      <w:r>
        <w:t xml:space="preserve"> equacionar a perda em condução através da queda de tensão </w:t>
      </w:r>
      <w:r w:rsidRPr="008126D0">
        <w:t>no IGBT</w:t>
      </w:r>
      <w:proofErr w:type="gramStart"/>
      <w:r w:rsidRPr="008126D0">
        <w:t xml:space="preserve">,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Pr="008126D0">
        <w:t>,</w:t>
      </w:r>
      <w:proofErr w:type="gramEnd"/>
      <w:r w:rsidRPr="008126D0">
        <w:t xml:space="preserve"> e no diodo,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Pr="008126D0">
        <w:t xml:space="preserve">, em função da corrente: </w:t>
      </w:r>
    </w:p>
    <w:p w:rsidR="00B72E0A" w:rsidRPr="008126D0" w:rsidRDefault="00B72E0A" w:rsidP="00B72E0A">
      <w:pPr>
        <w:pStyle w:val="Figura"/>
        <w:keepNext/>
        <w:tabs>
          <w:tab w:val="left" w:pos="210"/>
          <w:tab w:val="left" w:pos="278"/>
        </w:tabs>
        <w:spacing w:before="0"/>
        <w:ind w:firstLine="227"/>
        <w:jc w:val="both"/>
      </w:pPr>
    </w:p>
    <w:p w:rsidR="00B72E0A" w:rsidRPr="008126D0" w:rsidRDefault="00B72E0A" w:rsidP="00B72E0A">
      <w:pPr>
        <w:pStyle w:val="Equation"/>
      </w:pPr>
      <w:r w:rsidRPr="008126D0">
        <w:tab/>
      </w:r>
      <m:oMath>
        <m:sSub>
          <m:sSubPr>
            <m:ctrlPr>
              <w:rPr>
                <w:rFonts w:ascii="Cambria Math" w:hAnsi="Cambria Math"/>
                <w:i/>
              </w:rPr>
            </m:ctrlPr>
          </m:sSubPr>
          <m:e>
            <m:r>
              <w:rPr>
                <w:rFonts w:ascii="Cambria Math" w:hAnsi="Cambria Math"/>
              </w:rPr>
              <m:t>V</m:t>
            </m:r>
          </m:e>
          <m:sub>
            <m:r>
              <w:rPr>
                <w:rFonts w:ascii="Cambria Math" w:hAnsi="Cambria Math"/>
              </w:rPr>
              <m:t>CE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CE</m:t>
            </m:r>
          </m:sub>
        </m:sSub>
        <m:sSub>
          <m:sSubPr>
            <m:ctrlPr>
              <w:rPr>
                <w:rFonts w:ascii="Cambria Math" w:hAnsi="Cambria Math"/>
                <w:i/>
              </w:rPr>
            </m:ctrlPr>
          </m:sSubPr>
          <m:e>
            <m:r>
              <w:rPr>
                <w:rFonts w:ascii="Cambria Math" w:hAnsi="Cambria Math"/>
              </w:rPr>
              <m:t>i</m:t>
            </m:r>
          </m:e>
          <m:sub>
            <m:r>
              <w:rPr>
                <w:rFonts w:ascii="Cambria Math" w:hAnsi="Cambria Math"/>
              </w:rPr>
              <m:t>C</m:t>
            </m:r>
          </m:sub>
        </m:sSub>
      </m:oMath>
      <w:r w:rsidRPr="008126D0">
        <w:fldChar w:fldCharType="begin"/>
      </w:r>
      <w:r w:rsidRPr="008126D0">
        <w:instrText xml:space="preserve"> QUOTE </w:instrText>
      </w:r>
      <m:oMath>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CE0</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CE</m:t>
            </m:r>
          </m:sub>
        </m:sSub>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oMath>
      <w:r w:rsidRPr="008126D0">
        <w:instrText xml:space="preserve"> </w:instrText>
      </w:r>
      <w:r w:rsidRPr="008126D0">
        <w:fldChar w:fldCharType="separate"/>
      </w:r>
      <m:oMath>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e>
        </m:d>
        <m:r>
          <m:rPr>
            <m:sty m:val="p"/>
          </m:rPr>
          <w:rPr>
            <w:rFonts w:ascii="Cambria Math" w:hAnsi="Cambria Math"/>
          </w:rPr>
          <m:t>=</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CE0</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CE</m:t>
            </m:r>
          </m:sub>
        </m:sSub>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C</m:t>
            </m:r>
          </m:sub>
        </m:sSub>
      </m:oMath>
      <w:r w:rsidRPr="008126D0">
        <w:fldChar w:fldCharType="end"/>
      </w:r>
      <w:r w:rsidRPr="008126D0">
        <w:t xml:space="preserve"> </w:t>
      </w:r>
      <w:r w:rsidRPr="008126D0">
        <w:tab/>
        <w:t>(1)</w:t>
      </w:r>
    </w:p>
    <w:p w:rsidR="00C75CEC" w:rsidRPr="008126D0" w:rsidRDefault="00C75CEC" w:rsidP="00C75CEC">
      <w:pPr>
        <w:pStyle w:val="TextBody"/>
      </w:pPr>
    </w:p>
    <w:p w:rsidR="00B72E0A" w:rsidRPr="008126D0" w:rsidRDefault="00B72E0A" w:rsidP="00B72E0A">
      <w:pPr>
        <w:pStyle w:val="Equation"/>
      </w:pPr>
      <w:r w:rsidRPr="008126D0">
        <w:tab/>
      </w:r>
      <m:oMath>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F</m:t>
            </m:r>
          </m:sub>
        </m:sSub>
      </m:oMath>
      <w:r w:rsidRPr="008126D0">
        <w:tab/>
        <w:t>(</w:t>
      </w:r>
      <w:r w:rsidR="00C75CEC" w:rsidRPr="008126D0">
        <w:t>2</w:t>
      </w:r>
      <w:r w:rsidRPr="008126D0">
        <w:t>)</w:t>
      </w:r>
    </w:p>
    <w:p w:rsidR="00B72E0A" w:rsidRPr="008126D0" w:rsidRDefault="00B72E0A" w:rsidP="00B72E0A">
      <w:pPr>
        <w:pStyle w:val="Figura"/>
        <w:keepNext/>
        <w:tabs>
          <w:tab w:val="left" w:pos="210"/>
          <w:tab w:val="left" w:pos="278"/>
        </w:tabs>
        <w:spacing w:before="0"/>
        <w:jc w:val="both"/>
      </w:pPr>
      <w:r w:rsidRPr="008126D0">
        <w:t xml:space="preserve">Onde: </w:t>
      </w:r>
    </w:p>
    <w:p w:rsidR="00B72E0A" w:rsidRPr="008126D0" w:rsidRDefault="004F4FC0"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B72E0A" w:rsidRPr="008126D0">
        <w:t xml:space="preserve"> – Queda de tensão através do IGBT.</w:t>
      </w:r>
    </w:p>
    <w:p w:rsidR="00B72E0A" w:rsidRPr="008126D0" w:rsidRDefault="004F4FC0"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m:t>
        </m:r>
      </m:oMath>
      <w:r w:rsidR="00B72E0A" w:rsidRPr="008126D0">
        <w:t>– Corrente no IGBT.</w:t>
      </w:r>
    </w:p>
    <w:p w:rsidR="00B72E0A" w:rsidRPr="008126D0" w:rsidRDefault="004F4FC0"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r</m:t>
            </m:r>
          </m:e>
          <m:sub>
            <m:r>
              <w:rPr>
                <w:rFonts w:ascii="Cambria Math" w:hAnsi="Cambria Math"/>
              </w:rPr>
              <m:t>CE</m:t>
            </m:r>
          </m:sub>
        </m:sSub>
      </m:oMath>
      <w:r w:rsidR="00B72E0A" w:rsidRPr="008126D0">
        <w:t xml:space="preserve"> – Resistência incremental do IGBT.</w:t>
      </w:r>
    </w:p>
    <w:p w:rsidR="00B72E0A" w:rsidRPr="008126D0" w:rsidRDefault="004F4FC0"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B72E0A" w:rsidRPr="008126D0">
        <w:t xml:space="preserve"> – Queda de tensão através do diodo.</w:t>
      </w:r>
    </w:p>
    <w:p w:rsidR="00B72E0A" w:rsidRPr="008126D0" w:rsidRDefault="004F4FC0"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 xml:space="preserve"> </m:t>
        </m:r>
      </m:oMath>
      <w:r w:rsidR="00B72E0A" w:rsidRPr="008126D0">
        <w:t>– Corrente no diodo.</w:t>
      </w:r>
    </w:p>
    <w:p w:rsidR="00B72E0A" w:rsidRPr="008126D0" w:rsidRDefault="004F4FC0" w:rsidP="00B72E0A">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B72E0A" w:rsidRPr="008126D0">
        <w:t xml:space="preserve"> – Resistência incremental do diodo.</w:t>
      </w:r>
    </w:p>
    <w:p w:rsidR="00B72E0A" w:rsidRPr="008126D0" w:rsidRDefault="00B72E0A" w:rsidP="00B72E0A">
      <w:pPr>
        <w:pStyle w:val="Figura"/>
        <w:keepNext/>
        <w:tabs>
          <w:tab w:val="left" w:pos="210"/>
          <w:tab w:val="left" w:pos="278"/>
        </w:tabs>
        <w:spacing w:before="0"/>
        <w:ind w:firstLine="227"/>
        <w:jc w:val="both"/>
      </w:pPr>
    </w:p>
    <w:p w:rsidR="00A926C3" w:rsidRDefault="00A926C3" w:rsidP="00A926C3">
      <w:pPr>
        <w:pStyle w:val="Figura"/>
        <w:keepNext/>
        <w:tabs>
          <w:tab w:val="left" w:pos="210"/>
          <w:tab w:val="left" w:pos="278"/>
        </w:tabs>
        <w:spacing w:before="0"/>
        <w:ind w:firstLine="227"/>
        <w:jc w:val="both"/>
      </w:pPr>
      <w:r>
        <w:t>As perdas de comutação estão associadas a energia necessária para a chave entrar em condução e sair de condução e são proporcionais a tensão de bloqueio no semicondutor e a corrente instantânea.</w:t>
      </w:r>
      <w:r w:rsidRPr="005C0859">
        <w:t xml:space="preserve"> </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swR</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R</m:t>
                </m:r>
              </m:sub>
            </m:sSub>
          </m:den>
        </m:f>
        <m:r>
          <w:rPr>
            <w:rFonts w:ascii="Cambria Math" w:hAnsi="Cambria Math"/>
          </w:rPr>
          <m: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R</m:t>
                </m:r>
              </m:sub>
            </m:sSub>
          </m:den>
        </m:f>
      </m:oMath>
      <w:r>
        <w:t xml:space="preserve"> </w:t>
      </w:r>
      <w:r w:rsidRPr="00C374A0">
        <w:tab/>
        <w:t>(</w:t>
      </w:r>
      <w:r w:rsidR="00C75CEC">
        <w:t>3</w:t>
      </w:r>
      <w:r w:rsidRPr="00C374A0">
        <w:t>)</w:t>
      </w:r>
    </w:p>
    <w:p w:rsidR="00A926C3" w:rsidRDefault="00A926C3" w:rsidP="00A926C3">
      <w:pPr>
        <w:pStyle w:val="Figura"/>
        <w:keepNext/>
        <w:tabs>
          <w:tab w:val="left" w:pos="210"/>
          <w:tab w:val="left" w:pos="278"/>
        </w:tabs>
        <w:spacing w:before="0"/>
        <w:jc w:val="both"/>
      </w:pPr>
      <w:r>
        <w:lastRenderedPageBreak/>
        <w:t>Onde:</w:t>
      </w:r>
      <w:r w:rsidRPr="00C65A28">
        <w:t xml:space="preserve"> </w:t>
      </w:r>
    </w:p>
    <w:p w:rsidR="00A926C3" w:rsidRDefault="004F4FC0"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E</m:t>
            </m:r>
          </m:e>
          <m:sub>
            <m:r>
              <w:rPr>
                <w:rFonts w:ascii="Cambria Math" w:hAnsi="Cambria Math"/>
              </w:rPr>
              <m:t>swR</m:t>
            </m:r>
          </m:sub>
        </m:sSub>
      </m:oMath>
      <w:r w:rsidR="00A926C3">
        <w:t xml:space="preserve"> – É a energia de comutação necessária ao semicondutor quando imposto sobre uma tensão de </w:t>
      </w:r>
      <w:proofErr w:type="gramStart"/>
      <w:r w:rsidR="00A926C3">
        <w:t xml:space="preserve">bloqueio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A926C3">
        <w:t xml:space="preserve"> e</w:t>
      </w:r>
      <w:proofErr w:type="gramEnd"/>
      <w:r w:rsidR="00A926C3">
        <w:t xml:space="preserve"> corrente instantânea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926C3">
        <w:t>.</w:t>
      </w:r>
    </w:p>
    <w:p w:rsidR="00A926C3" w:rsidRDefault="00A926C3" w:rsidP="00A926C3">
      <w:pPr>
        <w:pStyle w:val="Figura"/>
        <w:keepNext/>
        <w:tabs>
          <w:tab w:val="left" w:pos="210"/>
          <w:tab w:val="left" w:pos="278"/>
        </w:tabs>
        <w:spacing w:before="0"/>
        <w:ind w:firstLine="227"/>
        <w:jc w:val="both"/>
      </w:pPr>
      <m:oMath>
        <m:r>
          <w:rPr>
            <w:rFonts w:ascii="Cambria Math" w:hAnsi="Cambria Math"/>
          </w:rPr>
          <m:t>v</m:t>
        </m:r>
      </m:oMath>
      <w:r>
        <w:t xml:space="preserve"> </w:t>
      </w:r>
      <w:proofErr w:type="gramStart"/>
      <w:r>
        <w:t xml:space="preserve">e </w:t>
      </w:r>
      <m:oMath>
        <m:r>
          <w:rPr>
            <w:rFonts w:ascii="Cambria Math" w:hAnsi="Cambria Math"/>
          </w:rPr>
          <m:t>i</m:t>
        </m:r>
      </m:oMath>
      <w:r>
        <w:t xml:space="preserve"> –</w:t>
      </w:r>
      <w:proofErr w:type="gramEnd"/>
      <w:r>
        <w:t xml:space="preserve"> São a tensão e corrente durante a comutação.</w:t>
      </w:r>
    </w:p>
    <w:p w:rsidR="00A926C3" w:rsidRDefault="00A926C3" w:rsidP="00A926C3">
      <w:pPr>
        <w:pStyle w:val="Figura"/>
        <w:keepNext/>
        <w:tabs>
          <w:tab w:val="left" w:pos="210"/>
          <w:tab w:val="left" w:pos="278"/>
        </w:tabs>
        <w:spacing w:before="0"/>
        <w:ind w:firstLine="227"/>
        <w:jc w:val="both"/>
      </w:pPr>
    </w:p>
    <w:p w:rsidR="00A926C3" w:rsidRPr="00A926C3" w:rsidRDefault="00A926C3" w:rsidP="00A926C3">
      <w:pPr>
        <w:pStyle w:val="Figura"/>
        <w:keepNext/>
        <w:tabs>
          <w:tab w:val="left" w:pos="210"/>
          <w:tab w:val="left" w:pos="278"/>
        </w:tabs>
        <w:spacing w:before="0"/>
        <w:ind w:firstLine="227"/>
        <w:jc w:val="both"/>
      </w:pPr>
      <w:r>
        <w:t>As perdas no estado de bloqueio podem ser desprezadas quando comparadas as perdas de condução ou comutação, por isto não serão abordadas nesta análise.</w:t>
      </w:r>
    </w:p>
    <w:p w:rsidR="00A926C3" w:rsidRDefault="00A926C3" w:rsidP="00A926C3">
      <w:pPr>
        <w:pStyle w:val="TextBody"/>
      </w:pPr>
    </w:p>
    <w:p w:rsidR="00A926C3" w:rsidRPr="00387AC1" w:rsidRDefault="00A926C3" w:rsidP="00A926C3">
      <w:pPr>
        <w:pStyle w:val="Ttulo1"/>
        <w:tabs>
          <w:tab w:val="clear" w:pos="432"/>
          <w:tab w:val="num" w:pos="0"/>
        </w:tabs>
        <w:ind w:left="0" w:firstLine="0"/>
        <w:jc w:val="center"/>
        <w:rPr>
          <w:b w:val="0"/>
          <w:bCs/>
          <w:sz w:val="20"/>
        </w:rPr>
      </w:pPr>
      <w:r>
        <w:rPr>
          <w:b w:val="0"/>
          <w:bCs/>
          <w:sz w:val="20"/>
        </w:rPr>
        <w:t>II</w:t>
      </w:r>
      <w:r w:rsidR="00894692">
        <w:rPr>
          <w:b w:val="0"/>
          <w:bCs/>
          <w:sz w:val="20"/>
        </w:rPr>
        <w:t>I</w:t>
      </w:r>
      <w:r>
        <w:rPr>
          <w:b w:val="0"/>
          <w:bCs/>
          <w:sz w:val="20"/>
        </w:rPr>
        <w:t xml:space="preserve">. </w:t>
      </w:r>
      <w:r w:rsidRPr="00B72E0A">
        <w:rPr>
          <w:b w:val="0"/>
          <w:bCs/>
          <w:sz w:val="20"/>
        </w:rPr>
        <w:t xml:space="preserve">PERDAS </w:t>
      </w:r>
      <w:r>
        <w:rPr>
          <w:b w:val="0"/>
          <w:bCs/>
          <w:sz w:val="20"/>
        </w:rPr>
        <w:t>NO CONVERSOR MATRICIAL DIRETO</w:t>
      </w:r>
    </w:p>
    <w:p w:rsidR="00A926C3" w:rsidRDefault="00A926C3" w:rsidP="00A926C3">
      <w:pPr>
        <w:pStyle w:val="Pr-formata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bCs/>
        </w:rPr>
      </w:pPr>
    </w:p>
    <w:p w:rsidR="00A926C3" w:rsidRDefault="00A926C3" w:rsidP="00A926C3">
      <w:pPr>
        <w:pStyle w:val="Figura"/>
        <w:keepNext/>
        <w:tabs>
          <w:tab w:val="left" w:pos="210"/>
          <w:tab w:val="left" w:pos="278"/>
        </w:tabs>
        <w:spacing w:before="0"/>
        <w:ind w:firstLine="227"/>
        <w:jc w:val="both"/>
      </w:pPr>
      <w:r>
        <w:t>A tensão de entrada e corrente de saída do conversor matricial direto pode ser equacionada como:</w:t>
      </w:r>
      <w:r w:rsidRPr="00B66ED1">
        <w:t xml:space="preserve"> </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v</m:t>
            </m:r>
          </m:e>
          <m:sub>
            <m:r>
              <w:rPr>
                <w:rFonts w:ascii="Cambria Math" w:hAnsi="Cambria Math"/>
              </w:rPr>
              <m:t>ik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e>
        </m:func>
      </m:oMath>
      <w:r>
        <w:t xml:space="preserve"> </w:t>
      </w:r>
      <w:r w:rsidRPr="00C374A0">
        <w:tab/>
        <w:t>(</w:t>
      </w:r>
      <w:r w:rsidR="00C75CEC">
        <w:t>4</w:t>
      </w:r>
      <w:r w:rsidRPr="00C374A0">
        <w:t>)</w:t>
      </w:r>
    </w:p>
    <w:p w:rsidR="00C75CEC" w:rsidRPr="00C75CEC" w:rsidRDefault="00C75CEC" w:rsidP="00C75CEC">
      <w:pPr>
        <w:pStyle w:val="TextBody"/>
      </w:pPr>
    </w:p>
    <w:p w:rsidR="00A926C3" w:rsidRPr="00C374A0" w:rsidRDefault="00A926C3" w:rsidP="00A926C3">
      <w:pPr>
        <w:pStyle w:val="Equation"/>
      </w:pPr>
      <w:r w:rsidRPr="00C374A0">
        <w:tab/>
      </w:r>
      <m:oMath>
        <m:sSub>
          <m:sSubPr>
            <m:ctrlPr>
              <w:rPr>
                <w:rFonts w:ascii="Cambria Math" w:hAnsi="Cambria Math"/>
                <w:i/>
              </w:rPr>
            </m:ctrlPr>
          </m:sSubPr>
          <m:e>
            <m:r>
              <w:rPr>
                <w:rFonts w:ascii="Cambria Math" w:hAnsi="Cambria Math"/>
              </w:rPr>
              <m:t>i</m:t>
            </m:r>
          </m:e>
          <m:sub>
            <m:r>
              <w:rPr>
                <w:rFonts w:ascii="Cambria Math" w:hAnsi="Cambria Math"/>
              </w:rPr>
              <m:t>ok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m:t>
            </m:r>
          </m:e>
        </m:func>
      </m:oMath>
      <w:r w:rsidRPr="00C374A0">
        <w:tab/>
        <w:t>(</w:t>
      </w:r>
      <w:r w:rsidR="00C75CEC">
        <w:t>5</w:t>
      </w:r>
      <w:r w:rsidRPr="00C374A0">
        <w:t>)</w:t>
      </w:r>
    </w:p>
    <w:p w:rsidR="00A926C3" w:rsidRDefault="00A926C3" w:rsidP="00A926C3">
      <w:pPr>
        <w:pStyle w:val="Figura"/>
        <w:keepNext/>
        <w:tabs>
          <w:tab w:val="left" w:pos="210"/>
          <w:tab w:val="left" w:pos="278"/>
        </w:tabs>
        <w:spacing w:before="0"/>
        <w:jc w:val="both"/>
      </w:pPr>
      <w:r>
        <w:t>Onde:</w:t>
      </w:r>
      <w:r w:rsidRPr="00C65A28">
        <w:t xml:space="preserve"> </w:t>
      </w:r>
    </w:p>
    <w:p w:rsidR="00A926C3" w:rsidRDefault="00A926C3" w:rsidP="00A926C3">
      <w:pPr>
        <w:pStyle w:val="Figura"/>
        <w:keepNext/>
        <w:tabs>
          <w:tab w:val="left" w:pos="210"/>
          <w:tab w:val="left" w:pos="278"/>
        </w:tabs>
        <w:spacing w:before="0"/>
        <w:ind w:firstLine="227"/>
        <w:jc w:val="both"/>
      </w:pPr>
      <m:oMath>
        <m:r>
          <w:rPr>
            <w:rFonts w:ascii="Cambria Math" w:hAnsi="Cambria Math"/>
          </w:rPr>
          <m:t>k=1, 2, 3;</m:t>
        </m:r>
      </m:oMath>
      <w:r>
        <w:t xml:space="preserve">  </w:t>
      </w:r>
    </w:p>
    <w:p w:rsidR="00A926C3" w:rsidRDefault="004F4FC0"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A926C3">
        <w:t xml:space="preserve"> – Ângulo da tensão de entrada.</w:t>
      </w:r>
    </w:p>
    <w:p w:rsidR="00A926C3" w:rsidRDefault="004F4FC0" w:rsidP="00A926C3">
      <w:pPr>
        <w:pStyle w:val="Figura"/>
        <w:keepNext/>
        <w:tabs>
          <w:tab w:val="left" w:pos="210"/>
          <w:tab w:val="left" w:pos="278"/>
        </w:tabs>
        <w:spacing w:before="0"/>
        <w:ind w:firstLine="227"/>
        <w:jc w:val="both"/>
      </w:pPr>
      <m:oMath>
        <m:sSub>
          <m:sSubPr>
            <m:ctrlPr>
              <w:rPr>
                <w:rFonts w:ascii="Cambria Math" w:hAnsi="Cambria Math"/>
                <w:i/>
              </w:rPr>
            </m:ctrlPr>
          </m:sSubPr>
          <m:e>
            <m:r>
              <w:rPr>
                <w:rFonts w:ascii="Cambria Math" w:hAnsi="Cambria Math"/>
              </w:rPr>
              <m:t>β</m:t>
            </m:r>
          </m:e>
          <m:sub>
            <m:r>
              <w:rPr>
                <w:rFonts w:ascii="Cambria Math" w:hAnsi="Cambria Math"/>
              </w:rPr>
              <m:t>o</m:t>
            </m:r>
          </m:sub>
        </m:sSub>
      </m:oMath>
      <w:r w:rsidR="00A926C3">
        <w:t xml:space="preserve"> – Ângulo da corrente de saída.</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Figura"/>
        <w:keepNext/>
        <w:tabs>
          <w:tab w:val="left" w:pos="210"/>
          <w:tab w:val="left" w:pos="278"/>
        </w:tabs>
        <w:spacing w:before="0"/>
        <w:ind w:firstLine="227"/>
        <w:jc w:val="both"/>
      </w:pPr>
      <w:r w:rsidRPr="008126D0">
        <w:t>Dividindo o conversor matricial em 3 células conforme mostra a</w:t>
      </w:r>
      <w:r w:rsidR="00367B91" w:rsidRPr="008126D0">
        <w:t xml:space="preserve"> </w:t>
      </w:r>
      <w:r w:rsidR="00367B91" w:rsidRPr="008126D0">
        <w:fldChar w:fldCharType="begin"/>
      </w:r>
      <w:r w:rsidR="00367B91" w:rsidRPr="008126D0">
        <w:instrText xml:space="preserve"> REF _Ref436565271 \h </w:instrText>
      </w:r>
      <w:r w:rsidR="008126D0" w:rsidRPr="008126D0">
        <w:instrText xml:space="preserve"> \* MERGEFORMAT </w:instrText>
      </w:r>
      <w:r w:rsidR="00367B91" w:rsidRPr="008126D0">
        <w:fldChar w:fldCharType="separate"/>
      </w:r>
      <w:r w:rsidR="00A96DD5" w:rsidRPr="008126D0">
        <w:rPr>
          <w:color w:val="000000" w:themeColor="text1"/>
        </w:rPr>
        <w:t xml:space="preserve">Fig. </w:t>
      </w:r>
      <w:r w:rsidR="00A96DD5" w:rsidRPr="008126D0">
        <w:rPr>
          <w:noProof/>
          <w:color w:val="000000" w:themeColor="text1"/>
        </w:rPr>
        <w:t>1</w:t>
      </w:r>
      <w:r w:rsidR="00367B91" w:rsidRPr="008126D0">
        <w:fldChar w:fldCharType="end"/>
      </w:r>
      <w:r w:rsidRPr="008126D0">
        <w:t>, pode</w:t>
      </w:r>
      <w:r w:rsidR="008671B8">
        <w:t>-se</w:t>
      </w:r>
      <w:r>
        <w:t xml:space="preserve"> concluir que a corrente de saída estará sempre fluindo através de 1 IGBT e 1 diodo de cada célula do conversor, visto que não </w:t>
      </w:r>
      <w:r w:rsidR="008671B8">
        <w:t>é possível</w:t>
      </w:r>
      <w:r>
        <w:t xml:space="preserve"> colocar a fonte de tensão da entrada em curto-circuito ou abrir a fonte de corrente da saída. Desta maneira, calculando a perda de condução durante ¼ do período da corrente de saída e multiplicando por 3, pode</w:t>
      </w:r>
      <w:r w:rsidR="008671B8">
        <w:t>-se</w:t>
      </w:r>
      <w:r>
        <w:t xml:space="preserve"> encontrar as perdas totais:</w:t>
      </w:r>
    </w:p>
    <w:p w:rsidR="00A926C3" w:rsidRDefault="00A926C3" w:rsidP="00A926C3">
      <w:pPr>
        <w:pStyle w:val="Figura"/>
        <w:keepNext/>
        <w:tabs>
          <w:tab w:val="left" w:pos="210"/>
          <w:tab w:val="left" w:pos="278"/>
        </w:tabs>
        <w:spacing w:before="0"/>
        <w:ind w:firstLine="227"/>
        <w:jc w:val="both"/>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c_CMC</m:t>
            </m:r>
          </m:sub>
        </m:sSub>
        <m:r>
          <w:rPr>
            <w:rFonts w:ascii="Cambria Math" w:hAnsi="Cambria Math"/>
          </w:rPr>
          <m:t>=3.</m:t>
        </m:r>
        <m:f>
          <m:fPr>
            <m:ctrlPr>
              <w:rPr>
                <w:rFonts w:ascii="Cambria Math" w:hAnsi="Cambria Math"/>
                <w:i/>
              </w:rPr>
            </m:ctrlPr>
          </m:fPr>
          <m:num>
            <m:r>
              <w:rPr>
                <w:rFonts w:ascii="Cambria Math" w:hAnsi="Cambria Math"/>
              </w:rPr>
              <m:t>2</m:t>
            </m:r>
          </m:num>
          <m:den>
            <m:r>
              <w:rPr>
                <w:rFonts w:ascii="Cambria Math" w:hAnsi="Cambria Math"/>
              </w:rPr>
              <m:t>π</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f>
              <m:fPr>
                <m:type m:val="skw"/>
                <m:ctrlPr>
                  <w:rPr>
                    <w:rFonts w:ascii="Cambria Math" w:hAnsi="Cambria Math"/>
                    <w:i/>
                  </w:rPr>
                </m:ctrlPr>
              </m:fPr>
              <m:num>
                <m:r>
                  <w:rPr>
                    <w:rFonts w:ascii="Cambria Math" w:hAnsi="Cambria Math"/>
                  </w:rPr>
                  <m:t>2</m:t>
                </m:r>
              </m:num>
              <m:den>
                <m:r>
                  <w:rPr>
                    <w:rFonts w:ascii="Cambria Math" w:hAnsi="Cambria Math"/>
                  </w:rPr>
                  <m:t>π</m:t>
                </m:r>
              </m:den>
            </m:f>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o1</m:t>
                </m:r>
              </m:sub>
            </m:sSub>
            <m:r>
              <w:rPr>
                <w:rFonts w:ascii="Cambria Math" w:hAnsi="Cambria Math"/>
              </w:rPr>
              <m:t>.d</m:t>
            </m:r>
            <m:sSub>
              <m:sSubPr>
                <m:ctrlPr>
                  <w:rPr>
                    <w:rFonts w:ascii="Cambria Math" w:hAnsi="Cambria Math"/>
                    <w:i/>
                  </w:rPr>
                </m:ctrlPr>
              </m:sSubPr>
              <m:e>
                <m:r>
                  <w:rPr>
                    <w:rFonts w:ascii="Cambria Math" w:hAnsi="Cambria Math"/>
                  </w:rPr>
                  <m:t>β</m:t>
                </m:r>
              </m:e>
              <m:sub>
                <m:r>
                  <w:rPr>
                    <w:rFonts w:ascii="Cambria Math" w:hAnsi="Cambria Math"/>
                  </w:rPr>
                  <m:t>o</m:t>
                </m:r>
              </m:sub>
            </m:sSub>
          </m:e>
        </m:nary>
      </m:oMath>
      <w:r>
        <w:t xml:space="preserve"> </w:t>
      </w:r>
      <w:r w:rsidRPr="00C374A0">
        <w:tab/>
        <w:t>(</w:t>
      </w:r>
      <w:r w:rsidR="00C75CEC">
        <w:t>6</w:t>
      </w:r>
      <w:r w:rsidRPr="00C374A0">
        <w:t>)</w:t>
      </w:r>
    </w:p>
    <w:p w:rsidR="00A926C3" w:rsidRDefault="00A926C3" w:rsidP="00A926C3">
      <w:pPr>
        <w:pStyle w:val="Equation"/>
      </w:pPr>
    </w:p>
    <w:p w:rsidR="00A926C3" w:rsidRDefault="00A926C3" w:rsidP="00A926C3">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c_CMC</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π</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CE0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F0</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oMath>
      <w:r w:rsidRPr="00C374A0">
        <w:tab/>
        <w:t>(</w:t>
      </w:r>
      <w:r w:rsidR="00C75CEC">
        <w:t>7</w:t>
      </w:r>
      <w:r w:rsidRPr="00C374A0">
        <w:t>)</w:t>
      </w:r>
    </w:p>
    <w:p w:rsidR="00A926C3" w:rsidRDefault="00A926C3" w:rsidP="00A926C3">
      <w:pPr>
        <w:pStyle w:val="TextBody"/>
      </w:pPr>
    </w:p>
    <w:p w:rsidR="00A926C3" w:rsidRDefault="008671B8" w:rsidP="00A926C3">
      <w:pPr>
        <w:pStyle w:val="TextBody"/>
      </w:pPr>
      <w:r>
        <w:t>O</w:t>
      </w:r>
      <w:r w:rsidR="00A926C3">
        <w:t>bservar</w:t>
      </w:r>
      <w:r>
        <w:t>-se</w:t>
      </w:r>
      <w:r w:rsidR="00A926C3">
        <w:t xml:space="preserve"> que as perdas em condução dependem somente da corrente de pico e não é afetada pelo índice de modulação ou fator de potência.</w:t>
      </w:r>
    </w:p>
    <w:p w:rsidR="00A926C3" w:rsidRDefault="00A926C3" w:rsidP="00A926C3">
      <w:pPr>
        <w:pStyle w:val="TextBody"/>
      </w:pPr>
      <w:r>
        <w:t xml:space="preserve">As perdas de comutação dependem da tensão de bloqueio imposta ao semicondutor e da energia necessária para realizar a mudança de estado. </w:t>
      </w:r>
    </w:p>
    <w:p w:rsidR="00A926C3" w:rsidRPr="008126D0" w:rsidRDefault="00A926C3" w:rsidP="00A926C3">
      <w:pPr>
        <w:pStyle w:val="TextBody"/>
      </w:pPr>
      <w:r>
        <w:t>Considerando uma modulação Space Vector utilizando 4 comutações por período de chaveamento, conforme mostra a</w:t>
      </w:r>
      <w:r w:rsidR="00367B91">
        <w:t xml:space="preserve"> </w:t>
      </w:r>
      <w:r w:rsidR="00367B91" w:rsidRPr="008126D0">
        <w:fldChar w:fldCharType="begin"/>
      </w:r>
      <w:r w:rsidR="00367B91" w:rsidRPr="008126D0">
        <w:instrText xml:space="preserve"> REF _Ref436565432 \h </w:instrText>
      </w:r>
      <w:r w:rsidR="008126D0" w:rsidRPr="008126D0">
        <w:instrText xml:space="preserve"> \* MERGEFORMAT </w:instrText>
      </w:r>
      <w:r w:rsidR="00367B91" w:rsidRPr="008126D0">
        <w:fldChar w:fldCharType="separate"/>
      </w:r>
      <w:r w:rsidR="00A96DD5" w:rsidRPr="008126D0">
        <w:rPr>
          <w:color w:val="000000" w:themeColor="text1"/>
        </w:rPr>
        <w:t xml:space="preserve">Fig. </w:t>
      </w:r>
      <w:r w:rsidR="00A96DD5" w:rsidRPr="008126D0">
        <w:rPr>
          <w:noProof/>
          <w:color w:val="000000" w:themeColor="text1"/>
        </w:rPr>
        <w:t>5</w:t>
      </w:r>
      <w:r w:rsidR="00367B91" w:rsidRPr="008126D0">
        <w:fldChar w:fldCharType="end"/>
      </w:r>
      <w:r w:rsidRPr="008126D0">
        <w:t>, e</w:t>
      </w:r>
      <w:r>
        <w:t xml:space="preserve"> o método “</w:t>
      </w:r>
      <w:proofErr w:type="spellStart"/>
      <w:r w:rsidRPr="000B1636">
        <w:rPr>
          <w:i/>
        </w:rPr>
        <w:t>fourstep</w:t>
      </w:r>
      <w:proofErr w:type="spellEnd"/>
      <w:r>
        <w:t>” [</w:t>
      </w:r>
      <w:r w:rsidR="00A22323">
        <w:t>5</w:t>
      </w:r>
      <w:r>
        <w:t xml:space="preserve">] para a comutação </w:t>
      </w:r>
      <w:r w:rsidR="008671B8">
        <w:t>entre as fases de entrada, pode</w:t>
      </w:r>
      <w:r w:rsidR="00EA31FA">
        <w:t>-se</w:t>
      </w:r>
      <w:r>
        <w:t xml:space="preserve"> observar que apenas </w:t>
      </w:r>
      <w:r w:rsidR="00083CF7">
        <w:t>dois</w:t>
      </w:r>
      <w:r>
        <w:t xml:space="preserve"> </w:t>
      </w:r>
      <w:proofErr w:type="spellStart"/>
      <w:r>
        <w:t>IGBT´s</w:t>
      </w:r>
      <w:proofErr w:type="spellEnd"/>
      <w:r>
        <w:t xml:space="preserve"> </w:t>
      </w:r>
      <w:r w:rsidR="00083CF7">
        <w:t>e um diodo realizam esforços a cada mudança de vetor</w:t>
      </w:r>
      <w:r w:rsidRPr="008126D0">
        <w:t xml:space="preserve">. </w:t>
      </w:r>
    </w:p>
    <w:p w:rsidR="00A926C3" w:rsidRDefault="00A926C3" w:rsidP="00A926C3">
      <w:pPr>
        <w:pStyle w:val="TextBody"/>
      </w:pPr>
      <w:r w:rsidRPr="008126D0">
        <w:t xml:space="preserve">A </w:t>
      </w:r>
      <w:r w:rsidR="001B1C1A" w:rsidRPr="008126D0">
        <w:fldChar w:fldCharType="begin"/>
      </w:r>
      <w:r w:rsidR="001B1C1A" w:rsidRPr="008126D0">
        <w:instrText xml:space="preserve"> REF _Ref436565502 \h </w:instrText>
      </w:r>
      <w:r w:rsidR="008126D0" w:rsidRPr="008126D0">
        <w:instrText xml:space="preserve"> \* MERGEFORMAT </w:instrText>
      </w:r>
      <w:r w:rsidR="001B1C1A" w:rsidRPr="008126D0">
        <w:fldChar w:fldCharType="separate"/>
      </w:r>
      <w:r w:rsidR="00A96DD5" w:rsidRPr="008126D0">
        <w:rPr>
          <w:color w:val="000000" w:themeColor="text1"/>
        </w:rPr>
        <w:t xml:space="preserve">Fig. </w:t>
      </w:r>
      <w:r w:rsidR="00A96DD5" w:rsidRPr="008126D0">
        <w:rPr>
          <w:noProof/>
          <w:color w:val="000000" w:themeColor="text1"/>
        </w:rPr>
        <w:t>6</w:t>
      </w:r>
      <w:r w:rsidR="001B1C1A" w:rsidRPr="008126D0">
        <w:fldChar w:fldCharType="end"/>
      </w:r>
      <w:r w:rsidR="001B1C1A" w:rsidRPr="008126D0">
        <w:t xml:space="preserve"> </w:t>
      </w:r>
      <w:r w:rsidRPr="008126D0">
        <w:t>apresenta</w:t>
      </w:r>
      <w:r>
        <w:t xml:space="preserve"> a comutação </w:t>
      </w:r>
      <w:proofErr w:type="spellStart"/>
      <w:r>
        <w:t>fourstep</w:t>
      </w:r>
      <w:proofErr w:type="spellEnd"/>
      <w:r>
        <w:t xml:space="preserve"> entre as chaves bidirecionais</w:t>
      </w:r>
      <w:bookmarkStart w:id="4" w:name="_GoBack"/>
      <w:bookmarkEnd w:id="4"/>
      <w:r>
        <w:t xml:space="preserve">. </w:t>
      </w:r>
    </w:p>
    <w:p w:rsidR="00EA31FA" w:rsidRPr="00387AC1" w:rsidRDefault="00A926C3" w:rsidP="00EA31FA">
      <w:pPr>
        <w:pStyle w:val="TextBody"/>
      </w:pPr>
      <w:r>
        <w:t xml:space="preserve">Exemplo de comutação entre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m:t>
        </m:r>
      </m:oMath>
      <w:proofErr w:type="gramStart"/>
      <w:r>
        <w:t xml:space="preserve">e </w:t>
      </w:r>
      <m:oMath>
        <m:sSub>
          <m:sSubPr>
            <m:ctrlPr>
              <w:rPr>
                <w:rFonts w:ascii="Cambria Math" w:hAnsi="Cambria Math"/>
                <w:i/>
              </w:rPr>
            </m:ctrlPr>
          </m:sSubPr>
          <m:e>
            <m:r>
              <w:rPr>
                <w:rFonts w:ascii="Cambria Math" w:hAnsi="Cambria Math"/>
              </w:rPr>
              <m:t>S</m:t>
            </m:r>
          </m:e>
          <m:sub>
            <m:r>
              <w:rPr>
                <w:rFonts w:ascii="Cambria Math" w:hAnsi="Cambria Math"/>
              </w:rPr>
              <m:t>21</m:t>
            </m:r>
          </m:sub>
        </m:sSub>
      </m:oMath>
      <w:r>
        <w:t xml:space="preserve"> considerando</w:t>
      </w:r>
      <w:proofErr w:type="gramEnd"/>
      <w:r>
        <w:t xml:space="preserve"> a corrente </w:t>
      </w:r>
      <m:oMath>
        <m:sSub>
          <m:sSubPr>
            <m:ctrlPr>
              <w:rPr>
                <w:rFonts w:ascii="Cambria Math" w:hAnsi="Cambria Math"/>
                <w:i/>
              </w:rPr>
            </m:ctrlPr>
          </m:sSubPr>
          <m:e>
            <m:r>
              <w:rPr>
                <w:rFonts w:ascii="Cambria Math" w:hAnsi="Cambria Math"/>
              </w:rPr>
              <m:t>I</m:t>
            </m:r>
          </m:e>
          <m:sub>
            <m:r>
              <w:rPr>
                <w:rFonts w:ascii="Cambria Math" w:hAnsi="Cambria Math"/>
              </w:rPr>
              <m:t>o</m:t>
            </m:r>
          </m:sub>
        </m:sSub>
      </m:oMath>
      <w:r>
        <w:t xml:space="preserve"> positiva fluindo inicialmente através da chave </w:t>
      </w:r>
      <m:oMath>
        <m:sSub>
          <m:sSubPr>
            <m:ctrlPr>
              <w:rPr>
                <w:rFonts w:ascii="Cambria Math" w:hAnsi="Cambria Math"/>
                <w:i/>
              </w:rPr>
            </m:ctrlPr>
          </m:sSubPr>
          <m:e>
            <m:r>
              <w:rPr>
                <w:rFonts w:ascii="Cambria Math" w:hAnsi="Cambria Math"/>
              </w:rPr>
              <m:t>T</m:t>
            </m:r>
          </m:e>
          <m:sub>
            <m:r>
              <w:rPr>
                <w:rFonts w:ascii="Cambria Math" w:hAnsi="Cambria Math"/>
              </w:rPr>
              <m:t>11_1</m:t>
            </m:r>
          </m:sub>
        </m:sSub>
        <m:r>
          <w:rPr>
            <w:rFonts w:ascii="Cambria Math" w:hAnsi="Cambria Math"/>
          </w:rPr>
          <m:t xml:space="preserve"> </m:t>
        </m:r>
      </m:oMath>
      <w:r>
        <w:t xml:space="preserve">e do diodo </w:t>
      </w:r>
      <m:oMath>
        <m:sSub>
          <m:sSubPr>
            <m:ctrlPr>
              <w:rPr>
                <w:rFonts w:ascii="Cambria Math" w:hAnsi="Cambria Math"/>
                <w:i/>
              </w:rPr>
            </m:ctrlPr>
          </m:sSubPr>
          <m:e>
            <m:r>
              <w:rPr>
                <w:rFonts w:ascii="Cambria Math" w:hAnsi="Cambria Math"/>
              </w:rPr>
              <m:t>D</m:t>
            </m:r>
          </m:e>
          <m:sub>
            <m:r>
              <w:rPr>
                <w:rFonts w:ascii="Cambria Math" w:hAnsi="Cambria Math"/>
              </w:rPr>
              <m:t>11_2</m:t>
            </m:r>
          </m:sub>
        </m:sSub>
      </m:oMath>
      <w:r>
        <w:t xml:space="preserve">, e a 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positiva:</w:t>
      </w:r>
      <w:r w:rsidR="00EA31FA" w:rsidRPr="00EA31FA">
        <w:t xml:space="preserve"> </w:t>
      </w:r>
    </w:p>
    <w:p w:rsidR="00EA31FA" w:rsidRDefault="00EA31FA" w:rsidP="00EA31FA">
      <w:pPr>
        <w:pStyle w:val="TextBody"/>
        <w:numPr>
          <w:ilvl w:val="0"/>
          <w:numId w:val="3"/>
        </w:numPr>
        <w:tabs>
          <w:tab w:val="clear" w:pos="947"/>
          <w:tab w:val="num" w:pos="426"/>
          <w:tab w:val="left" w:pos="2556"/>
        </w:tabs>
        <w:ind w:left="426"/>
      </w:pPr>
      <w:r>
        <w:t xml:space="preserve">No primeiro </w:t>
      </w:r>
      <w:proofErr w:type="gramStart"/>
      <w:r>
        <w:t xml:space="preserve">momento </w:t>
      </w:r>
      <m:oMath>
        <m:sSub>
          <m:sSubPr>
            <m:ctrlPr>
              <w:rPr>
                <w:rFonts w:ascii="Cambria Math" w:hAnsi="Cambria Math"/>
                <w:i/>
              </w:rPr>
            </m:ctrlPr>
          </m:sSubPr>
          <m:e>
            <m:r>
              <w:rPr>
                <w:rFonts w:ascii="Cambria Math" w:hAnsi="Cambria Math"/>
              </w:rPr>
              <m:t>T</m:t>
            </m:r>
          </m:e>
          <m:sub>
            <m:r>
              <w:rPr>
                <w:rFonts w:ascii="Cambria Math" w:hAnsi="Cambria Math"/>
              </w:rPr>
              <m:t>11_2</m:t>
            </m:r>
          </m:sub>
        </m:sSub>
      </m:oMath>
      <w:r>
        <w:t xml:space="preserve"> é</w:t>
      </w:r>
      <w:proofErr w:type="gramEnd"/>
      <w:r>
        <w:t xml:space="preserve"> desligado, não gerando perdas pois não estava conduzindo corrente;</w:t>
      </w:r>
    </w:p>
    <w:p w:rsidR="00EA31FA" w:rsidRDefault="00EA31FA" w:rsidP="00EA31FA">
      <w:pPr>
        <w:pStyle w:val="TextBody"/>
        <w:numPr>
          <w:ilvl w:val="0"/>
          <w:numId w:val="3"/>
        </w:numPr>
        <w:tabs>
          <w:tab w:val="clear" w:pos="947"/>
          <w:tab w:val="num" w:pos="426"/>
          <w:tab w:val="left" w:pos="2556"/>
        </w:tabs>
        <w:ind w:left="426"/>
      </w:pPr>
      <w:r>
        <w:t xml:space="preserve">Após, </w:t>
      </w:r>
      <m:oMath>
        <m:sSub>
          <m:sSubPr>
            <m:ctrlPr>
              <w:rPr>
                <w:rFonts w:ascii="Cambria Math" w:hAnsi="Cambria Math"/>
                <w:i/>
              </w:rPr>
            </m:ctrlPr>
          </m:sSubPr>
          <m:e>
            <m:r>
              <w:rPr>
                <w:rFonts w:ascii="Cambria Math" w:hAnsi="Cambria Math"/>
              </w:rPr>
              <m:t>T</m:t>
            </m:r>
          </m:e>
          <m:sub>
            <m:r>
              <w:rPr>
                <w:rFonts w:ascii="Cambria Math" w:hAnsi="Cambria Math"/>
              </w:rPr>
              <m:t>21_1</m:t>
            </m:r>
          </m:sub>
        </m:sSub>
        <m:r>
          <w:rPr>
            <w:rFonts w:ascii="Cambria Math" w:hAnsi="Cambria Math"/>
          </w:rPr>
          <m:t xml:space="preserve"> </m:t>
        </m:r>
      </m:oMath>
      <w:r>
        <w:t xml:space="preserve">é ligado. Como a </w:t>
      </w:r>
      <w:proofErr w:type="gramStart"/>
      <w:r>
        <w:t xml:space="preserve">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é</w:t>
      </w:r>
      <w:proofErr w:type="gramEnd"/>
      <w:r>
        <w:t xml:space="preserve"> positiva, nenhum esforço será gerado;</w:t>
      </w:r>
    </w:p>
    <w:p w:rsidR="00EA31FA" w:rsidRPr="00387AC1" w:rsidRDefault="00EA31FA" w:rsidP="00EA31FA">
      <w:pPr>
        <w:pStyle w:val="TextBody"/>
        <w:numPr>
          <w:ilvl w:val="0"/>
          <w:numId w:val="3"/>
        </w:numPr>
        <w:tabs>
          <w:tab w:val="clear" w:pos="947"/>
          <w:tab w:val="num" w:pos="426"/>
          <w:tab w:val="left" w:pos="2556"/>
        </w:tabs>
        <w:ind w:left="426"/>
      </w:pPr>
      <w:proofErr w:type="gramStart"/>
      <w:r>
        <w:t xml:space="preserve">Quando </w:t>
      </w:r>
      <m:oMath>
        <m:sSub>
          <m:sSubPr>
            <m:ctrlPr>
              <w:rPr>
                <w:rFonts w:ascii="Cambria Math" w:hAnsi="Cambria Math"/>
                <w:i/>
              </w:rPr>
            </m:ctrlPr>
          </m:sSubPr>
          <m:e>
            <m:r>
              <w:rPr>
                <w:rFonts w:ascii="Cambria Math" w:hAnsi="Cambria Math"/>
              </w:rPr>
              <m:t>T</m:t>
            </m:r>
          </m:e>
          <m:sub>
            <m:r>
              <w:rPr>
                <w:rFonts w:ascii="Cambria Math" w:hAnsi="Cambria Math"/>
              </w:rPr>
              <m:t>11_1</m:t>
            </m:r>
          </m:sub>
        </m:sSub>
      </m:oMath>
      <w:r>
        <w:t xml:space="preserve"> é</w:t>
      </w:r>
      <w:proofErr w:type="gramEnd"/>
      <w:r>
        <w:t xml:space="preserve"> desligado, vamos gerar perdas por comutação no bloqueio do semicondutor.</w:t>
      </w:r>
    </w:p>
    <w:p w:rsidR="00B72E0A" w:rsidRDefault="00A926C3" w:rsidP="00A926C3">
      <w:pPr>
        <w:pStyle w:val="TextBody"/>
      </w:pPr>
      <w:r>
        <w:lastRenderedPageBreak/>
        <w:t xml:space="preserve">Caso a </w:t>
      </w:r>
      <w:proofErr w:type="gramStart"/>
      <w:r>
        <w:t xml:space="preserve">tensão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t xml:space="preserve"> seja</w:t>
      </w:r>
      <w:proofErr w:type="gramEnd"/>
      <w:r>
        <w:t xml:space="preserve"> negativa, a perda de comutação irá ocorrer no momento em que </w:t>
      </w:r>
      <m:oMath>
        <m:sSub>
          <m:sSubPr>
            <m:ctrlPr>
              <w:rPr>
                <w:rFonts w:ascii="Cambria Math" w:hAnsi="Cambria Math"/>
                <w:i/>
              </w:rPr>
            </m:ctrlPr>
          </m:sSubPr>
          <m:e>
            <m:r>
              <w:rPr>
                <w:rFonts w:ascii="Cambria Math" w:hAnsi="Cambria Math"/>
              </w:rPr>
              <m:t>T</m:t>
            </m:r>
          </m:e>
          <m:sub>
            <m:r>
              <w:rPr>
                <w:rFonts w:ascii="Cambria Math" w:hAnsi="Cambria Math"/>
              </w:rPr>
              <m:t>21_1</m:t>
            </m:r>
          </m:sub>
        </m:sSub>
      </m:oMath>
      <w:r>
        <w:t xml:space="preserve"> é acionado. O acionamento </w:t>
      </w:r>
      <w:proofErr w:type="gramStart"/>
      <w:r>
        <w:t xml:space="preserve">de </w:t>
      </w:r>
      <m:oMath>
        <m:sSub>
          <m:sSubPr>
            <m:ctrlPr>
              <w:rPr>
                <w:rFonts w:ascii="Cambria Math" w:hAnsi="Cambria Math"/>
                <w:i/>
              </w:rPr>
            </m:ctrlPr>
          </m:sSubPr>
          <m:e>
            <m:r>
              <w:rPr>
                <w:rFonts w:ascii="Cambria Math" w:hAnsi="Cambria Math"/>
              </w:rPr>
              <m:t>T</m:t>
            </m:r>
          </m:e>
          <m:sub>
            <m:r>
              <w:rPr>
                <w:rFonts w:ascii="Cambria Math" w:hAnsi="Cambria Math"/>
              </w:rPr>
              <m:t>21_2</m:t>
            </m:r>
          </m:sub>
        </m:sSub>
      </m:oMath>
      <w:r>
        <w:t xml:space="preserve"> é</w:t>
      </w:r>
      <w:proofErr w:type="gramEnd"/>
      <w:r>
        <w:t xml:space="preserve"> redundante e não ocasiona perdas de comutação porque a corrente flui pelo diodo.</w:t>
      </w:r>
    </w:p>
    <w:p w:rsidR="00B72E0A" w:rsidRDefault="00B72E0A" w:rsidP="00E8796F">
      <w:pPr>
        <w:pStyle w:val="TextBody"/>
      </w:pPr>
    </w:p>
    <w:p w:rsidR="00367B91" w:rsidRDefault="00367B91" w:rsidP="00367B91">
      <w:pPr>
        <w:pStyle w:val="Figura"/>
        <w:keepNext/>
        <w:spacing w:before="0"/>
      </w:pPr>
      <w:r>
        <w:rPr>
          <w:noProof/>
          <w:lang w:eastAsia="pt-BR"/>
        </w:rPr>
        <w:drawing>
          <wp:inline distT="0" distB="0" distL="0" distR="0" wp14:anchorId="4DB5DD60" wp14:editId="54FA81BE">
            <wp:extent cx="3131820" cy="258710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1820" cy="2587100"/>
                    </a:xfrm>
                    <a:prstGeom prst="rect">
                      <a:avLst/>
                    </a:prstGeom>
                  </pic:spPr>
                </pic:pic>
              </a:graphicData>
            </a:graphic>
          </wp:inline>
        </w:drawing>
      </w:r>
    </w:p>
    <w:p w:rsidR="00367B91" w:rsidRPr="00A926C3" w:rsidRDefault="00367B91" w:rsidP="00367B91">
      <w:pPr>
        <w:pStyle w:val="Legenda"/>
        <w:jc w:val="both"/>
        <w:rPr>
          <w:b w:val="0"/>
          <w:i w:val="0"/>
          <w:color w:val="000000" w:themeColor="text1"/>
        </w:rPr>
      </w:pPr>
      <w:bookmarkStart w:id="5" w:name="_Ref436565432"/>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5</w:t>
      </w:r>
      <w:r w:rsidRPr="00A926C3">
        <w:rPr>
          <w:b w:val="0"/>
          <w:i w:val="0"/>
          <w:color w:val="000000" w:themeColor="text1"/>
        </w:rPr>
        <w:fldChar w:fldCharType="end"/>
      </w:r>
      <w:bookmarkEnd w:id="5"/>
      <w:r w:rsidR="00894692">
        <w:rPr>
          <w:b w:val="0"/>
          <w:i w:val="0"/>
          <w:color w:val="000000" w:themeColor="text1"/>
        </w:rPr>
        <w:t>.</w:t>
      </w:r>
      <w:r w:rsidRPr="00A926C3">
        <w:rPr>
          <w:b w:val="0"/>
          <w:i w:val="0"/>
          <w:color w:val="000000" w:themeColor="text1"/>
        </w:rPr>
        <w:t xml:space="preserve"> </w:t>
      </w:r>
      <w:r>
        <w:rPr>
          <w:b w:val="0"/>
          <w:i w:val="0"/>
          <w:color w:val="000000" w:themeColor="text1"/>
        </w:rPr>
        <w:t xml:space="preserve">Período de </w:t>
      </w:r>
      <w:r w:rsidR="001B1C1A">
        <w:rPr>
          <w:b w:val="0"/>
          <w:i w:val="0"/>
          <w:color w:val="000000" w:themeColor="text1"/>
        </w:rPr>
        <w:t>comutação</w:t>
      </w:r>
      <w:r w:rsidRPr="00A926C3">
        <w:rPr>
          <w:b w:val="0"/>
          <w:i w:val="0"/>
          <w:color w:val="000000" w:themeColor="text1"/>
        </w:rPr>
        <w:t>.</w:t>
      </w:r>
      <w:r w:rsidR="00EA31FA">
        <w:rPr>
          <w:b w:val="0"/>
          <w:i w:val="0"/>
          <w:color w:val="000000" w:themeColor="text1"/>
        </w:rPr>
        <w:t xml:space="preserve"> [4]</w:t>
      </w:r>
    </w:p>
    <w:p w:rsidR="001B1C1A" w:rsidRDefault="001B1C1A" w:rsidP="001B1C1A">
      <w:pPr>
        <w:pStyle w:val="TextBody"/>
      </w:pPr>
    </w:p>
    <w:p w:rsidR="001B1C1A" w:rsidRDefault="001B1C1A" w:rsidP="001B1C1A">
      <w:pPr>
        <w:pStyle w:val="Figura"/>
        <w:keepNext/>
        <w:spacing w:before="0"/>
      </w:pPr>
      <w:r>
        <w:rPr>
          <w:noProof/>
          <w:lang w:eastAsia="pt-BR"/>
        </w:rPr>
        <w:drawing>
          <wp:inline distT="0" distB="0" distL="0" distR="0" wp14:anchorId="29503602" wp14:editId="0534B85B">
            <wp:extent cx="2764877" cy="324353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702" cy="3273827"/>
                    </a:xfrm>
                    <a:prstGeom prst="rect">
                      <a:avLst/>
                    </a:prstGeom>
                  </pic:spPr>
                </pic:pic>
              </a:graphicData>
            </a:graphic>
          </wp:inline>
        </w:drawing>
      </w:r>
    </w:p>
    <w:p w:rsidR="001B1C1A" w:rsidRPr="00A926C3" w:rsidRDefault="001B1C1A" w:rsidP="001B1C1A">
      <w:pPr>
        <w:pStyle w:val="Legenda"/>
        <w:jc w:val="both"/>
        <w:rPr>
          <w:b w:val="0"/>
          <w:i w:val="0"/>
          <w:color w:val="000000" w:themeColor="text1"/>
        </w:rPr>
      </w:pPr>
      <w:bookmarkStart w:id="6" w:name="_Ref436565502"/>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6</w:t>
      </w:r>
      <w:r w:rsidRPr="00A926C3">
        <w:rPr>
          <w:b w:val="0"/>
          <w:i w:val="0"/>
          <w:color w:val="000000" w:themeColor="text1"/>
        </w:rPr>
        <w:fldChar w:fldCharType="end"/>
      </w:r>
      <w:bookmarkEnd w:id="6"/>
      <w:r w:rsidR="00894692">
        <w:rPr>
          <w:b w:val="0"/>
          <w:i w:val="0"/>
          <w:color w:val="000000" w:themeColor="text1"/>
        </w:rPr>
        <w:t>.</w:t>
      </w:r>
      <w:r w:rsidRPr="00A926C3">
        <w:rPr>
          <w:b w:val="0"/>
          <w:i w:val="0"/>
          <w:color w:val="000000" w:themeColor="text1"/>
        </w:rPr>
        <w:t xml:space="preserve"> </w:t>
      </w:r>
      <w:r w:rsidRPr="001B1C1A">
        <w:rPr>
          <w:b w:val="0"/>
          <w:i w:val="0"/>
          <w:color w:val="000000" w:themeColor="text1"/>
        </w:rPr>
        <w:t>Comutação utilizando o método</w:t>
      </w:r>
      <w:r>
        <w:rPr>
          <w:b w:val="0"/>
          <w:color w:val="000000" w:themeColor="text1"/>
        </w:rPr>
        <w:t xml:space="preserve"> </w:t>
      </w:r>
      <w:proofErr w:type="spellStart"/>
      <w:r w:rsidRPr="001B1C1A">
        <w:rPr>
          <w:b w:val="0"/>
          <w:color w:val="000000" w:themeColor="text1"/>
        </w:rPr>
        <w:t>fourstep</w:t>
      </w:r>
      <w:proofErr w:type="spellEnd"/>
      <w:r w:rsidRPr="00A926C3">
        <w:rPr>
          <w:b w:val="0"/>
          <w:i w:val="0"/>
          <w:color w:val="000000" w:themeColor="text1"/>
        </w:rPr>
        <w:t>.</w:t>
      </w:r>
      <w:r w:rsidR="00EA31FA">
        <w:rPr>
          <w:b w:val="0"/>
          <w:i w:val="0"/>
          <w:color w:val="000000" w:themeColor="text1"/>
        </w:rPr>
        <w:t xml:space="preserve"> [4]</w:t>
      </w:r>
    </w:p>
    <w:p w:rsidR="001B1C1A" w:rsidRDefault="001B1C1A"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C75CEC" w:rsidRDefault="00C75CEC" w:rsidP="001B1C1A">
      <w:pPr>
        <w:pStyle w:val="Figura"/>
        <w:keepNext/>
        <w:tabs>
          <w:tab w:val="left" w:pos="210"/>
          <w:tab w:val="left" w:pos="278"/>
        </w:tabs>
        <w:spacing w:before="0"/>
        <w:ind w:firstLine="227"/>
        <w:jc w:val="both"/>
      </w:pPr>
    </w:p>
    <w:p w:rsidR="001B1C1A" w:rsidRDefault="009F62A7" w:rsidP="001B1C1A">
      <w:pPr>
        <w:pStyle w:val="Figura"/>
        <w:keepNext/>
        <w:tabs>
          <w:tab w:val="left" w:pos="210"/>
          <w:tab w:val="left" w:pos="278"/>
        </w:tabs>
        <w:spacing w:before="0"/>
        <w:ind w:firstLine="227"/>
        <w:jc w:val="both"/>
      </w:pPr>
      <w:r>
        <w:br w:type="column"/>
      </w:r>
      <w:r w:rsidR="001B1C1A">
        <w:lastRenderedPageBreak/>
        <w:t xml:space="preserve">Realizando uma análise para todas as possibilidade de comutação entre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m:t>
        </m:r>
      </m:oMath>
      <w:proofErr w:type="gramStart"/>
      <w:r w:rsidR="001B1C1A">
        <w:t xml:space="preserve">e </w:t>
      </w:r>
      <m:oMath>
        <m:sSub>
          <m:sSubPr>
            <m:ctrlPr>
              <w:rPr>
                <w:rFonts w:ascii="Cambria Math" w:hAnsi="Cambria Math"/>
                <w:i/>
              </w:rPr>
            </m:ctrlPr>
          </m:sSubPr>
          <m:e>
            <m:r>
              <w:rPr>
                <w:rFonts w:ascii="Cambria Math" w:hAnsi="Cambria Math"/>
              </w:rPr>
              <m:t>S</m:t>
            </m:r>
          </m:e>
          <m:sub>
            <m:r>
              <w:rPr>
                <w:rFonts w:ascii="Cambria Math" w:hAnsi="Cambria Math"/>
              </w:rPr>
              <m:t>21</m:t>
            </m:r>
          </m:sub>
        </m:sSub>
      </m:oMath>
      <w:r w:rsidR="002F7EF6">
        <w:t>,</w:t>
      </w:r>
      <w:proofErr w:type="gramEnd"/>
      <w:r w:rsidR="002F7EF6">
        <w:t xml:space="preserve"> </w:t>
      </w:r>
      <w:proofErr w:type="spellStart"/>
      <w:r w:rsidR="002F7EF6">
        <w:t>obtem-se</w:t>
      </w:r>
      <w:proofErr w:type="spellEnd"/>
      <w:r w:rsidR="001B1C1A">
        <w:t xml:space="preserve"> os resultados da Tabela I.</w:t>
      </w:r>
    </w:p>
    <w:p w:rsidR="001B1C1A" w:rsidRPr="00E36454" w:rsidRDefault="001B1C1A" w:rsidP="001B1C1A">
      <w:pPr>
        <w:pStyle w:val="Figura"/>
        <w:keepNext/>
        <w:tabs>
          <w:tab w:val="left" w:pos="210"/>
          <w:tab w:val="left" w:pos="278"/>
        </w:tabs>
        <w:spacing w:before="0"/>
        <w:ind w:firstLine="227"/>
        <w:jc w:val="both"/>
      </w:pPr>
    </w:p>
    <w:p w:rsidR="001B1C1A" w:rsidRPr="00C374A0" w:rsidRDefault="001B1C1A" w:rsidP="001B1C1A">
      <w:pPr>
        <w:pStyle w:val="TableCaption"/>
      </w:pPr>
      <w:r w:rsidRPr="00C374A0">
        <w:t>T</w:t>
      </w:r>
      <w:r>
        <w:t xml:space="preserve">ABELA </w:t>
      </w:r>
      <w:r w:rsidRPr="00C374A0">
        <w:t>I</w:t>
      </w:r>
    </w:p>
    <w:p w:rsidR="001B1C1A" w:rsidRPr="00C374A0" w:rsidRDefault="001B1C1A" w:rsidP="001B1C1A">
      <w:pPr>
        <w:pStyle w:val="TableCaption"/>
      </w:pPr>
      <w:r>
        <w:t>Perdas de comutação entre S11 e S21</w:t>
      </w:r>
    </w:p>
    <w:tbl>
      <w:tblPr>
        <w:tblW w:w="5000" w:type="pct"/>
        <w:tblCellMar>
          <w:left w:w="70" w:type="dxa"/>
          <w:right w:w="70" w:type="dxa"/>
        </w:tblCellMar>
        <w:tblLook w:val="0000" w:firstRow="0" w:lastRow="0" w:firstColumn="0" w:lastColumn="0" w:noHBand="0" w:noVBand="0"/>
      </w:tblPr>
      <w:tblGrid>
        <w:gridCol w:w="1317"/>
        <w:gridCol w:w="912"/>
        <w:gridCol w:w="907"/>
        <w:gridCol w:w="906"/>
        <w:gridCol w:w="890"/>
      </w:tblGrid>
      <w:tr w:rsidR="001B1C1A" w:rsidRPr="00C374A0" w:rsidTr="00453261">
        <w:tc>
          <w:tcPr>
            <w:tcW w:w="1336" w:type="pct"/>
            <w:tcBorders>
              <w:top w:val="single" w:sz="6" w:space="0" w:color="000000"/>
              <w:bottom w:val="single" w:sz="6" w:space="0" w:color="000000"/>
            </w:tcBorders>
          </w:tcPr>
          <w:p w:rsidR="001B1C1A" w:rsidRDefault="001B1C1A" w:rsidP="00453261">
            <w:pPr>
              <w:pStyle w:val="TableBodyText"/>
              <w:jc w:val="center"/>
              <w:rPr>
                <w:b/>
              </w:rPr>
            </w:pPr>
          </w:p>
        </w:tc>
        <w:tc>
          <w:tcPr>
            <w:tcW w:w="1844" w:type="pct"/>
            <w:gridSpan w:val="2"/>
            <w:tcBorders>
              <w:top w:val="single" w:sz="6" w:space="0" w:color="000000"/>
              <w:bottom w:val="single" w:sz="6" w:space="0" w:color="000000"/>
            </w:tcBorders>
            <w:vAlign w:val="center"/>
          </w:tcPr>
          <w:p w:rsidR="001B1C1A" w:rsidRPr="00E36454"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m:t>
                    </m:r>
                    <m:r>
                      <m:rPr>
                        <m:sty m:val="bi"/>
                      </m:rPr>
                      <w:rPr>
                        <w:rFonts w:ascii="Cambria Math" w:hAnsi="Cambria Math"/>
                      </w:rPr>
                      <m:t>1</m:t>
                    </m:r>
                  </m:sub>
                </m:sSub>
                <m:r>
                  <m:rPr>
                    <m:sty m:val="bi"/>
                  </m:rPr>
                  <w:rPr>
                    <w:rFonts w:ascii="Cambria Math" w:hAnsi="Cambria Math"/>
                  </w:rPr>
                  <m:t>&gt; 0</m:t>
                </m:r>
              </m:oMath>
            </m:oMathPara>
          </w:p>
        </w:tc>
        <w:tc>
          <w:tcPr>
            <w:tcW w:w="1819" w:type="pct"/>
            <w:gridSpan w:val="2"/>
            <w:tcBorders>
              <w:top w:val="single" w:sz="6" w:space="0" w:color="000000"/>
              <w:bottom w:val="single" w:sz="6" w:space="0" w:color="000000"/>
            </w:tcBorders>
            <w:vAlign w:val="center"/>
          </w:tcPr>
          <w:p w:rsidR="001B1C1A" w:rsidRPr="00E36454"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o</m:t>
                    </m:r>
                    <m:r>
                      <m:rPr>
                        <m:sty m:val="bi"/>
                      </m:rPr>
                      <w:rPr>
                        <w:rFonts w:ascii="Cambria Math" w:hAnsi="Cambria Math"/>
                      </w:rPr>
                      <m:t>1</m:t>
                    </m:r>
                  </m:sub>
                </m:sSub>
                <m:r>
                  <m:rPr>
                    <m:sty m:val="bi"/>
                  </m:rPr>
                  <w:rPr>
                    <w:rFonts w:ascii="Cambria Math" w:hAnsi="Cambria Math"/>
                  </w:rPr>
                  <m:t>&lt; 0</m:t>
                </m:r>
              </m:oMath>
            </m:oMathPara>
          </w:p>
        </w:tc>
      </w:tr>
      <w:tr w:rsidR="001B1C1A" w:rsidRPr="00C374A0" w:rsidTr="00453261">
        <w:tc>
          <w:tcPr>
            <w:tcW w:w="1336" w:type="pct"/>
            <w:tcBorders>
              <w:top w:val="single" w:sz="6" w:space="0" w:color="000000"/>
              <w:bottom w:val="single" w:sz="6" w:space="0" w:color="000000"/>
            </w:tcBorders>
          </w:tcPr>
          <w:p w:rsidR="001B1C1A" w:rsidRPr="00C374A0" w:rsidRDefault="001B1C1A" w:rsidP="00453261">
            <w:pPr>
              <w:pStyle w:val="TableBodyText"/>
              <w:jc w:val="center"/>
            </w:pPr>
          </w:p>
        </w:tc>
        <w:tc>
          <w:tcPr>
            <w:tcW w:w="925" w:type="pct"/>
            <w:tcBorders>
              <w:top w:val="single" w:sz="6" w:space="0" w:color="000000"/>
              <w:bottom w:val="single" w:sz="6" w:space="0" w:color="000000"/>
            </w:tcBorders>
            <w:vAlign w:val="center"/>
          </w:tcPr>
          <w:p w:rsidR="001B1C1A" w:rsidRPr="00C374A0" w:rsidRDefault="004F4FC0"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21</m:t>
                    </m:r>
                  </m:sub>
                </m:sSub>
              </m:oMath>
            </m:oMathPara>
          </w:p>
        </w:tc>
        <w:tc>
          <w:tcPr>
            <w:tcW w:w="919" w:type="pct"/>
            <w:tcBorders>
              <w:top w:val="single" w:sz="6" w:space="0" w:color="000000"/>
              <w:bottom w:val="single" w:sz="6" w:space="0" w:color="000000"/>
            </w:tcBorders>
            <w:vAlign w:val="center"/>
          </w:tcPr>
          <w:p w:rsidR="001B1C1A" w:rsidRPr="00C374A0" w:rsidRDefault="004F4FC0"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11</m:t>
                    </m:r>
                  </m:sub>
                </m:sSub>
              </m:oMath>
            </m:oMathPara>
          </w:p>
        </w:tc>
        <w:tc>
          <w:tcPr>
            <w:tcW w:w="918" w:type="pct"/>
            <w:tcBorders>
              <w:top w:val="single" w:sz="6" w:space="0" w:color="000000"/>
              <w:bottom w:val="single" w:sz="6" w:space="0" w:color="000000"/>
            </w:tcBorders>
            <w:vAlign w:val="center"/>
          </w:tcPr>
          <w:p w:rsidR="001B1C1A" w:rsidRPr="00C374A0" w:rsidRDefault="004F4FC0"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21</m:t>
                    </m:r>
                  </m:sub>
                </m:sSub>
              </m:oMath>
            </m:oMathPara>
          </w:p>
        </w:tc>
        <w:tc>
          <w:tcPr>
            <w:tcW w:w="902" w:type="pct"/>
            <w:tcBorders>
              <w:top w:val="single" w:sz="6" w:space="0" w:color="000000"/>
              <w:bottom w:val="single" w:sz="6" w:space="0" w:color="000000"/>
            </w:tcBorders>
            <w:vAlign w:val="center"/>
          </w:tcPr>
          <w:p w:rsidR="001B1C1A" w:rsidRPr="00C374A0" w:rsidRDefault="004F4FC0" w:rsidP="00453261">
            <w:pPr>
              <w:pStyle w:val="TableBodyText"/>
              <w:jc w:val="center"/>
            </w:pPr>
            <m:oMathPara>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11</m:t>
                    </m:r>
                  </m:sub>
                </m:sSub>
              </m:oMath>
            </m:oMathPara>
          </w:p>
        </w:tc>
      </w:tr>
      <w:tr w:rsidR="001B1C1A" w:rsidRPr="00C374A0" w:rsidTr="00453261">
        <w:tc>
          <w:tcPr>
            <w:tcW w:w="1336" w:type="pct"/>
            <w:tcBorders>
              <w:top w:val="single" w:sz="6" w:space="0" w:color="000000"/>
              <w:bottom w:val="single" w:sz="6" w:space="0" w:color="000000"/>
            </w:tcBorders>
          </w:tcPr>
          <w:p w:rsidR="001B1C1A" w:rsidRPr="007B43E7" w:rsidRDefault="004F4FC0" w:rsidP="00453261">
            <w:pPr>
              <w:pStyle w:val="TableBodyText"/>
              <w:jc w:val="cente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 xml:space="preserve"> &gt; 0</m:t>
                </m:r>
              </m:oMath>
            </m:oMathPara>
          </w:p>
        </w:tc>
        <w:tc>
          <w:tcPr>
            <w:tcW w:w="925" w:type="pct"/>
            <w:tcBorders>
              <w:top w:val="single" w:sz="6" w:space="0" w:color="000000"/>
              <w:bottom w:val="single" w:sz="6" w:space="0" w:color="000000"/>
            </w:tcBorders>
            <w:vAlign w:val="center"/>
          </w:tcPr>
          <w:p w:rsidR="001B1C1A" w:rsidRPr="00C374A0" w:rsidRDefault="004F4FC0"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off_T11_1</m:t>
                    </m:r>
                  </m:sub>
                </m:sSub>
              </m:oMath>
            </m:oMathPara>
          </w:p>
        </w:tc>
        <w:tc>
          <w:tcPr>
            <w:tcW w:w="919" w:type="pct"/>
            <w:tcBorders>
              <w:top w:val="single" w:sz="6" w:space="0" w:color="000000"/>
              <w:bottom w:val="single" w:sz="6" w:space="0" w:color="000000"/>
            </w:tcBorders>
            <w:vAlign w:val="center"/>
          </w:tcPr>
          <w:p w:rsidR="001B1C1A" w:rsidRPr="00C374A0" w:rsidRDefault="004F4FC0"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on_T11_1</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rr_D21_2</m:t>
                    </m:r>
                  </m:sub>
                </m:sSub>
              </m:oMath>
            </m:oMathPara>
          </w:p>
        </w:tc>
        <w:tc>
          <w:tcPr>
            <w:tcW w:w="918" w:type="pct"/>
            <w:tcBorders>
              <w:top w:val="single" w:sz="6" w:space="0" w:color="000000"/>
              <w:bottom w:val="single" w:sz="6" w:space="0" w:color="000000"/>
            </w:tcBorders>
            <w:vAlign w:val="center"/>
          </w:tcPr>
          <w:p w:rsidR="001B1C1A" w:rsidRPr="00C374A0" w:rsidRDefault="004F4FC0"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on_T21_2</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rr_D11_1</m:t>
                    </m:r>
                  </m:sub>
                </m:sSub>
              </m:oMath>
            </m:oMathPara>
          </w:p>
        </w:tc>
        <w:tc>
          <w:tcPr>
            <w:tcW w:w="902" w:type="pct"/>
            <w:tcBorders>
              <w:top w:val="single" w:sz="6" w:space="0" w:color="000000"/>
              <w:bottom w:val="single" w:sz="6" w:space="0" w:color="000000"/>
            </w:tcBorders>
            <w:vAlign w:val="center"/>
          </w:tcPr>
          <w:p w:rsidR="001B1C1A" w:rsidRPr="00C374A0" w:rsidRDefault="004F4FC0"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off_T21_2</m:t>
                    </m:r>
                  </m:sub>
                </m:sSub>
              </m:oMath>
            </m:oMathPara>
          </w:p>
        </w:tc>
      </w:tr>
      <w:tr w:rsidR="001B1C1A" w:rsidRPr="00C374A0" w:rsidTr="00453261">
        <w:tc>
          <w:tcPr>
            <w:tcW w:w="1336" w:type="pct"/>
            <w:tcBorders>
              <w:top w:val="single" w:sz="6" w:space="0" w:color="000000"/>
              <w:bottom w:val="single" w:sz="12" w:space="0" w:color="000000"/>
            </w:tcBorders>
          </w:tcPr>
          <w:p w:rsidR="001B1C1A" w:rsidRPr="00C374A0" w:rsidRDefault="004F4FC0" w:rsidP="00453261">
            <w:pPr>
              <w:pStyle w:val="TableBodyText"/>
              <w:jc w:val="cente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&lt; 0</m:t>
                </m:r>
              </m:oMath>
            </m:oMathPara>
          </w:p>
        </w:tc>
        <w:tc>
          <w:tcPr>
            <w:tcW w:w="925" w:type="pct"/>
            <w:tcBorders>
              <w:top w:val="single" w:sz="6" w:space="0" w:color="000000"/>
              <w:bottom w:val="single" w:sz="12" w:space="0" w:color="000000"/>
            </w:tcBorders>
            <w:vAlign w:val="center"/>
          </w:tcPr>
          <w:p w:rsidR="001B1C1A" w:rsidRPr="00C374A0" w:rsidRDefault="004F4FC0"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on_T21_1</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rr_D11_2</m:t>
                    </m:r>
                  </m:sub>
                </m:sSub>
              </m:oMath>
            </m:oMathPara>
          </w:p>
        </w:tc>
        <w:tc>
          <w:tcPr>
            <w:tcW w:w="919" w:type="pct"/>
            <w:tcBorders>
              <w:top w:val="single" w:sz="6" w:space="0" w:color="000000"/>
              <w:bottom w:val="single" w:sz="12" w:space="0" w:color="000000"/>
            </w:tcBorders>
            <w:vAlign w:val="center"/>
          </w:tcPr>
          <w:p w:rsidR="001B1C1A" w:rsidRPr="00C374A0" w:rsidRDefault="004F4FC0"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off_T21_1</m:t>
                    </m:r>
                  </m:sub>
                </m:sSub>
              </m:oMath>
            </m:oMathPara>
          </w:p>
        </w:tc>
        <w:tc>
          <w:tcPr>
            <w:tcW w:w="918" w:type="pct"/>
            <w:tcBorders>
              <w:top w:val="single" w:sz="6" w:space="0" w:color="000000"/>
              <w:bottom w:val="single" w:sz="12" w:space="0" w:color="000000"/>
            </w:tcBorders>
            <w:vAlign w:val="center"/>
          </w:tcPr>
          <w:p w:rsidR="001B1C1A" w:rsidRPr="00C374A0" w:rsidRDefault="004F4FC0" w:rsidP="00453261">
            <w:pPr>
              <w:pStyle w:val="TableBodyText"/>
              <w:jc w:val="center"/>
            </w:pPr>
            <m:oMathPara>
              <m:oMath>
                <m:sSub>
                  <m:sSubPr>
                    <m:ctrlPr>
                      <w:rPr>
                        <w:rFonts w:ascii="Cambria Math" w:hAnsi="Cambria Math"/>
                        <w:i/>
                      </w:rPr>
                    </m:ctrlPr>
                  </m:sSubPr>
                  <m:e>
                    <m:r>
                      <w:rPr>
                        <w:rFonts w:ascii="Cambria Math" w:hAnsi="Cambria Math"/>
                      </w:rPr>
                      <m:t>E</m:t>
                    </m:r>
                  </m:e>
                  <m:sub>
                    <m:r>
                      <w:rPr>
                        <w:rFonts w:ascii="Cambria Math" w:hAnsi="Cambria Math"/>
                      </w:rPr>
                      <m:t>off_T11_2</m:t>
                    </m:r>
                  </m:sub>
                </m:sSub>
              </m:oMath>
            </m:oMathPara>
          </w:p>
        </w:tc>
        <w:tc>
          <w:tcPr>
            <w:tcW w:w="902" w:type="pct"/>
            <w:tcBorders>
              <w:top w:val="single" w:sz="6" w:space="0" w:color="000000"/>
              <w:bottom w:val="single" w:sz="12" w:space="0" w:color="000000"/>
            </w:tcBorders>
            <w:vAlign w:val="center"/>
          </w:tcPr>
          <w:p w:rsidR="001B1C1A" w:rsidRPr="00C374A0" w:rsidRDefault="004F4FC0" w:rsidP="00453261">
            <w:pPr>
              <w:pStyle w:val="TableBodyText"/>
              <w:jc w:val="center"/>
            </w:pPr>
            <m:oMath>
              <m:sSub>
                <m:sSubPr>
                  <m:ctrlPr>
                    <w:rPr>
                      <w:rFonts w:ascii="Cambria Math" w:hAnsi="Cambria Math"/>
                      <w:i/>
                    </w:rPr>
                  </m:ctrlPr>
                </m:sSubPr>
                <m:e>
                  <m:r>
                    <w:rPr>
                      <w:rFonts w:ascii="Cambria Math" w:hAnsi="Cambria Math"/>
                    </w:rPr>
                    <m:t>E</m:t>
                  </m:r>
                </m:e>
                <m:sub>
                  <m:r>
                    <w:rPr>
                      <w:rFonts w:ascii="Cambria Math" w:hAnsi="Cambria Math"/>
                    </w:rPr>
                    <m:t>on_T11_2</m:t>
                  </m:r>
                </m:sub>
              </m:sSub>
            </m:oMath>
            <w:r w:rsidR="001B1C1A">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rr_D21_1</m:t>
                    </m:r>
                  </m:sub>
                </m:sSub>
              </m:oMath>
            </m:oMathPara>
          </w:p>
        </w:tc>
      </w:tr>
    </w:tbl>
    <w:p w:rsidR="001B1C1A" w:rsidRDefault="001B1C1A" w:rsidP="001B1C1A">
      <w:pPr>
        <w:pStyle w:val="Figura"/>
        <w:keepNext/>
        <w:tabs>
          <w:tab w:val="left" w:pos="210"/>
          <w:tab w:val="left" w:pos="278"/>
        </w:tabs>
        <w:spacing w:before="0"/>
        <w:ind w:firstLine="227"/>
        <w:jc w:val="both"/>
      </w:pPr>
    </w:p>
    <w:p w:rsidR="001B1C1A" w:rsidRDefault="004177D4" w:rsidP="001B1C1A">
      <w:pPr>
        <w:pStyle w:val="Figura"/>
        <w:keepNext/>
        <w:tabs>
          <w:tab w:val="left" w:pos="210"/>
          <w:tab w:val="left" w:pos="278"/>
        </w:tabs>
        <w:spacing w:before="0"/>
        <w:ind w:firstLine="227"/>
        <w:jc w:val="both"/>
      </w:pPr>
      <w:r>
        <w:t>Através d</w:t>
      </w:r>
      <w:r w:rsidR="001B1C1A">
        <w:t xml:space="preserve">a Tabela I </w:t>
      </w:r>
      <w:r>
        <w:t>é possível</w:t>
      </w:r>
      <w:r w:rsidR="001B1C1A">
        <w:t xml:space="preserve"> concluir que a cada período de comutação ocorrem uma perda por </w:t>
      </w:r>
      <w:proofErr w:type="spellStart"/>
      <w:r w:rsidR="001B1C1A" w:rsidRPr="000512D3">
        <w:rPr>
          <w:i/>
        </w:rPr>
        <w:t>Turn</w:t>
      </w:r>
      <w:proofErr w:type="spellEnd"/>
      <w:r w:rsidR="001B1C1A" w:rsidRPr="000512D3">
        <w:rPr>
          <w:i/>
        </w:rPr>
        <w:t>-off</w:t>
      </w:r>
      <w:r w:rsidR="001B1C1A">
        <w:t xml:space="preserve">, </w:t>
      </w:r>
      <w:proofErr w:type="spellStart"/>
      <w:r w:rsidR="001B1C1A" w:rsidRPr="000512D3">
        <w:rPr>
          <w:i/>
        </w:rPr>
        <w:t>Turn-on</w:t>
      </w:r>
      <w:proofErr w:type="spellEnd"/>
      <w:r w:rsidR="001B1C1A">
        <w:t xml:space="preserve"> e recuperação reversa do diodo. Desta maneira as perdas de uma célula do conversor matricial durante um período de chaveamento </w:t>
      </w:r>
      <w:r>
        <w:t xml:space="preserve">podem ser expressadas </w:t>
      </w:r>
      <w:r w:rsidR="001B1C1A">
        <w:t>através da equação:</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E</m:t>
            </m:r>
          </m:e>
          <m:sub>
            <m:r>
              <w:rPr>
                <w:rFonts w:ascii="Cambria Math" w:hAnsi="Cambria Math"/>
              </w:rPr>
              <m:t>sw/Ts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r>
          <w:rPr>
            <w:rFonts w:ascii="Cambria Math" w:hAnsi="Cambria Math"/>
          </w:rPr>
          <m:t>.</m:t>
        </m:r>
        <m:f>
          <m:fPr>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23</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oMath>
      <w:r w:rsidRPr="00C374A0">
        <w:tab/>
        <w:t>(</w:t>
      </w:r>
      <w:r w:rsidR="009F62A7">
        <w:t>8</w:t>
      </w:r>
      <w:r w:rsidRPr="00C374A0">
        <w:t>)</w:t>
      </w:r>
    </w:p>
    <w:p w:rsidR="001B1C1A" w:rsidRDefault="001B1C1A" w:rsidP="001B1C1A">
      <w:pPr>
        <w:pStyle w:val="Figura"/>
        <w:keepNext/>
        <w:tabs>
          <w:tab w:val="left" w:pos="210"/>
          <w:tab w:val="left" w:pos="278"/>
        </w:tabs>
        <w:spacing w:before="0"/>
        <w:jc w:val="both"/>
      </w:pPr>
    </w:p>
    <w:p w:rsidR="001B1C1A" w:rsidRDefault="001B1C1A" w:rsidP="001B1C1A">
      <w:pPr>
        <w:pStyle w:val="Figura"/>
        <w:keepNext/>
        <w:tabs>
          <w:tab w:val="left" w:pos="210"/>
          <w:tab w:val="left" w:pos="278"/>
        </w:tabs>
        <w:spacing w:before="0"/>
        <w:jc w:val="both"/>
      </w:pPr>
      <w:r>
        <w:t>Onde:</w:t>
      </w:r>
      <w:r w:rsidRPr="00C65A28">
        <w:t xml:space="preserve"> </w:t>
      </w:r>
    </w:p>
    <w:p w:rsidR="001B1C1A" w:rsidRDefault="004F4FC0"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on_T</m:t>
            </m:r>
          </m:sub>
        </m:sSub>
      </m:oMath>
      <w:r w:rsidR="001B1C1A">
        <w:t xml:space="preserve"> – Perda de Turn-on do IGBT.</w:t>
      </w:r>
      <w:r w:rsidR="001B1C1A" w:rsidRPr="004C18EA">
        <w:t xml:space="preserve"> </w:t>
      </w:r>
    </w:p>
    <w:p w:rsidR="001B1C1A" w:rsidRDefault="004F4FC0"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off_T</m:t>
            </m:r>
          </m:sub>
        </m:sSub>
      </m:oMath>
      <w:r w:rsidR="001B1C1A">
        <w:t xml:space="preserve"> – Perda de Turn-off do IGBT.</w:t>
      </w:r>
    </w:p>
    <w:p w:rsidR="001B1C1A" w:rsidRDefault="004F4FC0"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E</m:t>
            </m:r>
          </m:e>
          <m:sub>
            <m:r>
              <w:rPr>
                <w:rFonts w:ascii="Cambria Math" w:hAnsi="Cambria Math"/>
              </w:rPr>
              <m:t>rr_D</m:t>
            </m:r>
          </m:sub>
        </m:sSub>
      </m:oMath>
      <w:r w:rsidR="001B1C1A">
        <w:t xml:space="preserve"> – Perda de recuperação reversa no diodo.</w:t>
      </w:r>
      <w:r w:rsidR="001B1C1A" w:rsidRPr="004C18EA">
        <w:t xml:space="preserve"> </w:t>
      </w:r>
    </w:p>
    <w:p w:rsidR="001B1C1A" w:rsidRDefault="004F4FC0"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1B1C1A">
        <w:t xml:space="preserve"> – Tensão de referência para a perda determinada em datasheet.</w:t>
      </w:r>
    </w:p>
    <w:p w:rsidR="001B1C1A" w:rsidRDefault="004F4FC0" w:rsidP="001B1C1A">
      <w:pPr>
        <w:pStyle w:val="Figura"/>
        <w:keepNext/>
        <w:tabs>
          <w:tab w:val="left" w:pos="210"/>
          <w:tab w:val="left" w:pos="278"/>
        </w:tabs>
        <w:spacing w:before="0"/>
        <w:jc w:val="both"/>
      </w:pP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1B1C1A">
        <w:t xml:space="preserve"> – Corrente de referência para a perda determinada em datasheet.</w:t>
      </w:r>
    </w:p>
    <w:p w:rsidR="001B1C1A" w:rsidRDefault="001B1C1A" w:rsidP="001B1C1A">
      <w:pPr>
        <w:pStyle w:val="Figura"/>
        <w:keepNext/>
        <w:tabs>
          <w:tab w:val="left" w:pos="210"/>
          <w:tab w:val="left" w:pos="278"/>
        </w:tabs>
        <w:spacing w:before="0"/>
        <w:jc w:val="both"/>
      </w:pPr>
      <w:r>
        <w:t xml:space="preserve"> </w:t>
      </w:r>
    </w:p>
    <w:p w:rsidR="001B1C1A" w:rsidRDefault="001B1C1A" w:rsidP="001B1C1A">
      <w:pPr>
        <w:pStyle w:val="Figura"/>
        <w:keepNext/>
        <w:tabs>
          <w:tab w:val="left" w:pos="210"/>
          <w:tab w:val="left" w:pos="278"/>
        </w:tabs>
        <w:spacing w:before="0"/>
        <w:ind w:firstLine="227"/>
        <w:jc w:val="both"/>
      </w:pPr>
      <w:r>
        <w:t xml:space="preserve">Considerando a frequência de chaveamento do conversor muito superior a frequência na saída e a frequência de entrada, a perda média por comutação </w:t>
      </w:r>
      <w:r w:rsidR="004177D4">
        <w:t xml:space="preserve">pode ser calculada </w:t>
      </w:r>
      <w:r>
        <w:t xml:space="preserve">através da equação: </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sw/T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i23</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r>
              <w:rPr>
                <w:rFonts w:ascii="Cambria Math" w:hAnsi="Cambria Math"/>
              </w:rPr>
              <m:t>]</m:t>
            </m:r>
          </m:e>
        </m:nary>
        <m:r>
          <w:rPr>
            <w:rFonts w:ascii="Cambria Math" w:hAnsi="Cambria Math"/>
          </w:rPr>
          <m:t>dt</m:t>
        </m:r>
      </m:oMath>
      <w:r w:rsidR="004177D4">
        <w:t xml:space="preserve">    (</w:t>
      </w:r>
      <w:r w:rsidR="009F62A7">
        <w:t>9</w:t>
      </w:r>
      <w:r w:rsidR="004177D4">
        <w:t>)</w:t>
      </w:r>
    </w:p>
    <w:p w:rsidR="001B1C1A" w:rsidRDefault="001B1C1A" w:rsidP="001B1C1A">
      <w:pPr>
        <w:pStyle w:val="Figura"/>
        <w:keepNext/>
        <w:tabs>
          <w:tab w:val="left" w:pos="210"/>
          <w:tab w:val="left" w:pos="278"/>
        </w:tabs>
        <w:spacing w:before="0"/>
        <w:ind w:firstLine="227"/>
        <w:jc w:val="both"/>
      </w:pPr>
    </w:p>
    <w:p w:rsidR="001B1C1A" w:rsidRDefault="001B1C1A" w:rsidP="001B1C1A">
      <w:pPr>
        <w:pStyle w:val="Figura"/>
        <w:keepNext/>
        <w:tabs>
          <w:tab w:val="left" w:pos="210"/>
          <w:tab w:val="left" w:pos="278"/>
        </w:tabs>
        <w:spacing w:before="0"/>
        <w:ind w:firstLine="227"/>
        <w:jc w:val="both"/>
      </w:pPr>
      <w:r>
        <w:t xml:space="preserve">Desta maneira </w:t>
      </w:r>
      <w:r w:rsidR="004177D4">
        <w:t>pode-se</w:t>
      </w:r>
      <w:r>
        <w:t xml:space="preserve"> calcular as perdas totais por comutação do conversor, expandindo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i23</m:t>
                </m:r>
              </m:sub>
            </m:sSub>
          </m:e>
        </m:d>
        <m:r>
          <w:rPr>
            <w:rFonts w:ascii="Cambria Math" w:hAnsi="Cambria Math"/>
          </w:rPr>
          <m:t xml:space="preserve"> e </m:t>
        </m:r>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o1</m:t>
                </m:r>
              </m:sub>
            </m:sSub>
          </m:e>
        </m:d>
      </m:oMath>
      <w:r>
        <w:t xml:space="preserve"> em série de Fourier e integrando em função do período.</w:t>
      </w:r>
    </w:p>
    <w:p w:rsidR="001B1C1A" w:rsidRDefault="001B1C1A" w:rsidP="001B1C1A">
      <w:pPr>
        <w:pStyle w:val="Figura"/>
        <w:keepNext/>
        <w:tabs>
          <w:tab w:val="left" w:pos="210"/>
          <w:tab w:val="left" w:pos="278"/>
        </w:tabs>
        <w:spacing w:before="0"/>
        <w:jc w:val="both"/>
      </w:pPr>
    </w:p>
    <w:p w:rsidR="001B1C1A" w:rsidRDefault="001B1C1A" w:rsidP="001B1C1A">
      <w:pPr>
        <w:pStyle w:val="Equation"/>
      </w:pPr>
      <w:r w:rsidRPr="00C374A0">
        <w:tab/>
      </w:r>
      <m:oMath>
        <m:sSub>
          <m:sSubPr>
            <m:ctrlPr>
              <w:rPr>
                <w:rFonts w:ascii="Cambria Math" w:hAnsi="Cambria Math"/>
                <w:i/>
              </w:rPr>
            </m:ctrlPr>
          </m:sSubPr>
          <m:e>
            <m:r>
              <w:rPr>
                <w:rFonts w:ascii="Cambria Math" w:hAnsi="Cambria Math"/>
              </w:rPr>
              <m:t>P</m:t>
            </m:r>
          </m:e>
          <m:sub>
            <m:r>
              <w:rPr>
                <w:rFonts w:ascii="Cambria Math" w:hAnsi="Cambria Math"/>
              </w:rPr>
              <m:t>sw_CMC</m:t>
            </m:r>
          </m:sub>
        </m:sSub>
        <m:r>
          <w:rPr>
            <w:rFonts w:ascii="Cambria Math" w:hAnsi="Cambria Math"/>
          </w:rPr>
          <m:t>=</m:t>
        </m:r>
        <m:f>
          <m:fPr>
            <m:ctrlPr>
              <w:rPr>
                <w:rFonts w:ascii="Cambria Math" w:hAnsi="Cambria Math"/>
                <w:i/>
              </w:rPr>
            </m:ctrlPr>
          </m:fPr>
          <m:num>
            <m:r>
              <w:rPr>
                <w:rFonts w:ascii="Cambria Math" w:hAnsi="Cambria Math"/>
              </w:rPr>
              <m:t>24</m:t>
            </m:r>
            <m:rad>
              <m:radPr>
                <m:degHide m:val="1"/>
                <m:ctrlPr>
                  <w:rPr>
                    <w:rFonts w:ascii="Cambria Math" w:hAnsi="Cambria Math"/>
                    <w:i/>
                  </w:rPr>
                </m:ctrlPr>
              </m:radPr>
              <m:deg/>
              <m:e>
                <m:r>
                  <w:rPr>
                    <w:rFonts w:ascii="Cambria Math" w:hAnsi="Cambria Math"/>
                  </w:rPr>
                  <m:t>3</m:t>
                </m:r>
              </m:e>
            </m:rad>
          </m:num>
          <m:den>
            <m:sSup>
              <m:sSupPr>
                <m:ctrlPr>
                  <w:rPr>
                    <w:rFonts w:ascii="Cambria Math" w:hAnsi="Cambria Math"/>
                    <w:i/>
                  </w:rPr>
                </m:ctrlPr>
              </m:sSupPr>
              <m:e>
                <m:r>
                  <w:rPr>
                    <w:rFonts w:ascii="Cambria Math" w:hAnsi="Cambria Math"/>
                  </w:rPr>
                  <m:t>π</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on_T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off_T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rr_D</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den>
        </m:f>
      </m:oMath>
      <w:r w:rsidR="004177D4">
        <w:t xml:space="preserve">   (</w:t>
      </w:r>
      <w:r w:rsidR="009F62A7">
        <w:t>10</w:t>
      </w:r>
      <w:r w:rsidR="004177D4">
        <w:t>)</w:t>
      </w:r>
    </w:p>
    <w:p w:rsidR="001B1C1A" w:rsidRDefault="001B1C1A" w:rsidP="001B1C1A">
      <w:pPr>
        <w:pStyle w:val="TextBody"/>
        <w:ind w:firstLine="0"/>
      </w:pPr>
    </w:p>
    <w:p w:rsidR="001B1C1A" w:rsidRDefault="001B1C1A" w:rsidP="001B1C1A">
      <w:pPr>
        <w:pStyle w:val="TextBody"/>
      </w:pPr>
    </w:p>
    <w:p w:rsidR="009F62A7" w:rsidRDefault="009F62A7" w:rsidP="001B1C1A">
      <w:pPr>
        <w:pStyle w:val="TextBody"/>
      </w:pPr>
    </w:p>
    <w:p w:rsidR="001B1C1A" w:rsidRPr="00387AC1" w:rsidRDefault="001B1C1A" w:rsidP="001B1C1A">
      <w:pPr>
        <w:pStyle w:val="Ttulo1"/>
        <w:tabs>
          <w:tab w:val="clear" w:pos="432"/>
          <w:tab w:val="num" w:pos="0"/>
        </w:tabs>
        <w:ind w:left="0" w:firstLine="0"/>
        <w:jc w:val="center"/>
        <w:rPr>
          <w:b w:val="0"/>
          <w:bCs/>
          <w:sz w:val="20"/>
        </w:rPr>
      </w:pPr>
      <w:r>
        <w:rPr>
          <w:b w:val="0"/>
          <w:bCs/>
          <w:sz w:val="20"/>
        </w:rPr>
        <w:t>I</w:t>
      </w:r>
      <w:r w:rsidR="00894692">
        <w:rPr>
          <w:b w:val="0"/>
          <w:bCs/>
          <w:sz w:val="20"/>
        </w:rPr>
        <w:t>V</w:t>
      </w:r>
      <w:r>
        <w:rPr>
          <w:b w:val="0"/>
          <w:bCs/>
          <w:sz w:val="20"/>
        </w:rPr>
        <w:t>. CÁLCULO DE PERDAS E SIMULAÇÕES</w:t>
      </w:r>
    </w:p>
    <w:p w:rsidR="00B72E0A" w:rsidRDefault="00B72E0A" w:rsidP="00E8796F">
      <w:pPr>
        <w:pStyle w:val="TextBody"/>
      </w:pPr>
    </w:p>
    <w:p w:rsidR="001B1C1A" w:rsidRDefault="001B1C1A" w:rsidP="001B1C1A">
      <w:pPr>
        <w:pStyle w:val="TextBody"/>
      </w:pPr>
      <w:r>
        <w:t xml:space="preserve">Neste estudo de caso será considerado o IGBT de 4ª geração do fabricante </w:t>
      </w:r>
      <w:proofErr w:type="spellStart"/>
      <w:r w:rsidRPr="00C122A6">
        <w:rPr>
          <w:i/>
        </w:rPr>
        <w:t>Infineon</w:t>
      </w:r>
      <w:proofErr w:type="spellEnd"/>
      <w:r w:rsidRPr="003919D0">
        <w:rPr>
          <w:i/>
        </w:rPr>
        <w:t>®</w:t>
      </w:r>
      <w:r>
        <w:rPr>
          <w:i/>
        </w:rPr>
        <w:t xml:space="preserve">. </w:t>
      </w:r>
      <w:r>
        <w:t>Cada módulo (encapsulamento</w:t>
      </w:r>
      <w:r w:rsidRPr="005C751E">
        <w:rPr>
          <w:i/>
        </w:rPr>
        <w:t xml:space="preserve"> Easy2B</w:t>
      </w:r>
      <w:r w:rsidRPr="003919D0">
        <w:rPr>
          <w:i/>
        </w:rPr>
        <w:t>®</w:t>
      </w:r>
      <w:r w:rsidRPr="005C751E">
        <w:t>)</w:t>
      </w:r>
      <w:r>
        <w:t xml:space="preserve"> é composto por uma chave bidirecional, conectada em emissor comum, necessitando de nove módulos para formar um conversor matricial convencional. O IGBT e diodo possuem as seguintes especificações:</w:t>
      </w:r>
    </w:p>
    <w:p w:rsidR="004177D4" w:rsidRDefault="004177D4" w:rsidP="001B1C1A">
      <w:pPr>
        <w:pStyle w:val="TextBody"/>
      </w:pPr>
    </w:p>
    <w:p w:rsidR="004177D4" w:rsidRDefault="004177D4" w:rsidP="001B1C1A">
      <w:pPr>
        <w:pStyle w:val="TextBody"/>
      </w:pPr>
    </w:p>
    <w:p w:rsidR="004177D4" w:rsidRPr="00E36454" w:rsidRDefault="004177D4" w:rsidP="001B1C1A">
      <w:pPr>
        <w:pStyle w:val="TextBody"/>
      </w:pPr>
    </w:p>
    <w:p w:rsidR="001B1C1A" w:rsidRPr="00C374A0" w:rsidRDefault="001B1C1A" w:rsidP="001B1C1A">
      <w:pPr>
        <w:pStyle w:val="TableCaption"/>
      </w:pPr>
      <w:r w:rsidRPr="00C374A0">
        <w:lastRenderedPageBreak/>
        <w:t>T</w:t>
      </w:r>
      <w:r>
        <w:t>ABELA I</w:t>
      </w:r>
      <w:r w:rsidRPr="00C374A0">
        <w:t>I</w:t>
      </w:r>
    </w:p>
    <w:p w:rsidR="001B1C1A" w:rsidRPr="00C374A0" w:rsidRDefault="001B1C1A" w:rsidP="001B1C1A">
      <w:pPr>
        <w:pStyle w:val="TableCaption"/>
      </w:pPr>
      <w:r>
        <w:t>IGBT</w:t>
      </w:r>
    </w:p>
    <w:tbl>
      <w:tblPr>
        <w:tblW w:w="3469" w:type="pct"/>
        <w:jc w:val="center"/>
        <w:tblCellMar>
          <w:left w:w="70" w:type="dxa"/>
          <w:right w:w="70" w:type="dxa"/>
        </w:tblCellMar>
        <w:tblLook w:val="0000" w:firstRow="0" w:lastRow="0" w:firstColumn="0" w:lastColumn="0" w:noHBand="0" w:noVBand="0"/>
      </w:tblPr>
      <w:tblGrid>
        <w:gridCol w:w="2484"/>
        <w:gridCol w:w="938"/>
      </w:tblGrid>
      <w:tr w:rsidR="001B1C1A" w:rsidRPr="00C374A0" w:rsidTr="00453261">
        <w:trPr>
          <w:jc w:val="center"/>
        </w:trPr>
        <w:tc>
          <w:tcPr>
            <w:tcW w:w="3629" w:type="pct"/>
            <w:tcBorders>
              <w:top w:val="single" w:sz="6" w:space="0" w:color="000000"/>
              <w:bottom w:val="single" w:sz="6" w:space="0" w:color="000000"/>
            </w:tcBorders>
          </w:tcPr>
          <w:p w:rsidR="001B1C1A" w:rsidRPr="00770237"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ce max</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650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oMath>
            <w:r w:rsidRPr="00770237">
              <w:rPr>
                <w:b/>
              </w:rPr>
              <w:t xml:space="preserve">= 100°C,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175°C)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200 A</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ce sat</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w:t>
            </w:r>
            <w:r>
              <w:rPr>
                <w:b/>
              </w:rPr>
              <w:t xml:space="preserve">A,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GE</m:t>
                  </m:r>
                </m:sub>
              </m:sSub>
            </m:oMath>
            <w:r w:rsidRPr="00770237">
              <w:rPr>
                <w:b/>
              </w:rPr>
              <w:t xml:space="preserve"> = </w:t>
            </w:r>
            <w:r>
              <w:rPr>
                <w:b/>
              </w:rPr>
              <w:t>15V</w:t>
            </w:r>
            <w:r w:rsidRPr="00770237">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1,60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on</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2,80 </w:t>
            </w:r>
            <w:proofErr w:type="spellStart"/>
            <w:r>
              <w:t>mJ</w:t>
            </w:r>
            <w:proofErr w:type="spellEnd"/>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off</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4,10 </w:t>
            </w:r>
            <w:proofErr w:type="spellStart"/>
            <w:r>
              <w:t>mJ</w:t>
            </w:r>
            <w:proofErr w:type="spellEnd"/>
          </w:p>
        </w:tc>
      </w:tr>
      <w:tr w:rsidR="001B1C1A" w:rsidRPr="00C374A0" w:rsidTr="00453261">
        <w:trPr>
          <w:jc w:val="center"/>
        </w:trPr>
        <w:tc>
          <w:tcPr>
            <w:tcW w:w="3629" w:type="pct"/>
            <w:tcBorders>
              <w:top w:val="single" w:sz="6" w:space="0" w:color="000000"/>
              <w:bottom w:val="single" w:sz="12" w:space="0" w:color="000000"/>
            </w:tcBorders>
          </w:tcPr>
          <w:p w:rsidR="001B1C1A" w:rsidRPr="00770237"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 op</m:t>
                    </m:r>
                  </m:sub>
                </m:sSub>
              </m:oMath>
            </m:oMathPara>
          </w:p>
        </w:tc>
        <w:tc>
          <w:tcPr>
            <w:tcW w:w="1371" w:type="pct"/>
            <w:tcBorders>
              <w:top w:val="single" w:sz="6" w:space="0" w:color="000000"/>
              <w:bottom w:val="single" w:sz="12" w:space="0" w:color="000000"/>
            </w:tcBorders>
            <w:vAlign w:val="center"/>
          </w:tcPr>
          <w:p w:rsidR="001B1C1A" w:rsidRPr="00C374A0" w:rsidRDefault="001B1C1A" w:rsidP="00453261">
            <w:pPr>
              <w:pStyle w:val="TableBodyText"/>
              <w:jc w:val="center"/>
            </w:pPr>
            <w:r>
              <w:t>150 °C</w:t>
            </w:r>
          </w:p>
        </w:tc>
      </w:tr>
    </w:tbl>
    <w:p w:rsidR="001B1C1A" w:rsidRDefault="001B1C1A" w:rsidP="001B1C1A">
      <w:pPr>
        <w:pStyle w:val="TableCaption"/>
      </w:pPr>
    </w:p>
    <w:p w:rsidR="001B1C1A" w:rsidRPr="00C374A0" w:rsidRDefault="001B1C1A" w:rsidP="001B1C1A">
      <w:pPr>
        <w:pStyle w:val="TableCaption"/>
      </w:pPr>
      <w:r>
        <w:t>Diodo</w:t>
      </w:r>
    </w:p>
    <w:tbl>
      <w:tblPr>
        <w:tblW w:w="3469" w:type="pct"/>
        <w:jc w:val="center"/>
        <w:tblCellMar>
          <w:left w:w="70" w:type="dxa"/>
          <w:right w:w="70" w:type="dxa"/>
        </w:tblCellMar>
        <w:tblLook w:val="0000" w:firstRow="0" w:lastRow="0" w:firstColumn="0" w:lastColumn="0" w:noHBand="0" w:noVBand="0"/>
      </w:tblPr>
      <w:tblGrid>
        <w:gridCol w:w="2484"/>
        <w:gridCol w:w="938"/>
      </w:tblGrid>
      <w:tr w:rsidR="001B1C1A" w:rsidRPr="00C374A0" w:rsidTr="00453261">
        <w:trPr>
          <w:jc w:val="center"/>
        </w:trPr>
        <w:tc>
          <w:tcPr>
            <w:tcW w:w="3629" w:type="pct"/>
            <w:tcBorders>
              <w:top w:val="single" w:sz="6" w:space="0" w:color="000000"/>
              <w:bottom w:val="single" w:sz="6" w:space="0" w:color="000000"/>
            </w:tcBorders>
          </w:tcPr>
          <w:p w:rsidR="001B1C1A" w:rsidRPr="00770237"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RRM max</m:t>
                    </m:r>
                  </m:sub>
                </m:sSub>
              </m:oMath>
            </m:oMathPara>
          </w:p>
          <w:p w:rsidR="001B1C1A" w:rsidRPr="00770237" w:rsidRDefault="001B1C1A" w:rsidP="00453261">
            <w:pPr>
              <w:pStyle w:val="TableBodyText"/>
              <w:jc w:val="center"/>
              <w:rPr>
                <w:b/>
              </w:rPr>
            </w:pPr>
            <w:r w:rsidRPr="00770237">
              <w:rPr>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650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F</m:t>
                    </m:r>
                  </m:sub>
                </m:sSub>
              </m:oMath>
            </m:oMathPara>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200 A</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F</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w:t>
            </w:r>
            <w:r>
              <w:rPr>
                <w:b/>
              </w:rPr>
              <w:t>A</w:t>
            </w:r>
            <w:r w:rsidRPr="00770237">
              <w:rPr>
                <w:b/>
              </w:rPr>
              <w:t xml:space="preserv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1,50 V</w:t>
            </w:r>
          </w:p>
        </w:tc>
      </w:tr>
      <w:tr w:rsidR="001B1C1A" w:rsidRPr="00C374A0" w:rsidTr="00453261">
        <w:trPr>
          <w:jc w:val="center"/>
        </w:trPr>
        <w:tc>
          <w:tcPr>
            <w:tcW w:w="3629" w:type="pct"/>
            <w:tcBorders>
              <w:top w:val="single" w:sz="6" w:space="0" w:color="000000"/>
              <w:bottom w:val="single" w:sz="6" w:space="0" w:color="000000"/>
            </w:tcBorders>
          </w:tcPr>
          <w:p w:rsidR="001B1C1A" w:rsidRPr="00770237"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rr</m:t>
                    </m:r>
                  </m:sub>
                </m:sSub>
              </m:oMath>
            </m:oMathPara>
          </w:p>
          <w:p w:rsidR="001B1C1A" w:rsidRPr="00770237" w:rsidRDefault="001B1C1A" w:rsidP="00453261">
            <w:pPr>
              <w:pStyle w:val="TableBodyText"/>
              <w:jc w:val="center"/>
              <w:rPr>
                <w:b/>
              </w:rPr>
            </w:pPr>
            <w:proofErr w:type="gramStart"/>
            <w:r w:rsidRPr="00770237">
              <w:rPr>
                <w:b/>
              </w:rPr>
              <w:t>(</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c</m:t>
                  </m:r>
                </m:sub>
              </m:sSub>
            </m:oMath>
            <w:r w:rsidRPr="00770237">
              <w:rPr>
                <w:b/>
              </w:rPr>
              <w:t xml:space="preserve"> =</w:t>
            </w:r>
            <w:proofErr w:type="gramEnd"/>
            <w:r w:rsidRPr="00770237">
              <w:rPr>
                <w:b/>
              </w:rPr>
              <w:t xml:space="preserve"> 200A,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m:t>
                  </m:r>
                </m:sub>
              </m:sSub>
            </m:oMath>
            <w:r w:rsidRPr="00770237">
              <w:rPr>
                <w:b/>
              </w:rPr>
              <w:t>= 125°C)</w:t>
            </w:r>
          </w:p>
        </w:tc>
        <w:tc>
          <w:tcPr>
            <w:tcW w:w="1371" w:type="pct"/>
            <w:tcBorders>
              <w:top w:val="single" w:sz="6" w:space="0" w:color="000000"/>
              <w:bottom w:val="single" w:sz="6" w:space="0" w:color="000000"/>
            </w:tcBorders>
            <w:vAlign w:val="center"/>
          </w:tcPr>
          <w:p w:rsidR="001B1C1A" w:rsidRPr="00C374A0" w:rsidRDefault="001B1C1A" w:rsidP="00453261">
            <w:pPr>
              <w:pStyle w:val="TableBodyText"/>
              <w:jc w:val="center"/>
            </w:pPr>
            <w:r>
              <w:t xml:space="preserve">1,55 </w:t>
            </w:r>
            <w:proofErr w:type="spellStart"/>
            <w:r>
              <w:t>mJ</w:t>
            </w:r>
            <w:proofErr w:type="spellEnd"/>
          </w:p>
        </w:tc>
      </w:tr>
      <w:tr w:rsidR="001B1C1A" w:rsidRPr="00C374A0" w:rsidTr="00453261">
        <w:trPr>
          <w:jc w:val="center"/>
        </w:trPr>
        <w:tc>
          <w:tcPr>
            <w:tcW w:w="3629" w:type="pct"/>
            <w:tcBorders>
              <w:top w:val="single" w:sz="6" w:space="0" w:color="000000"/>
              <w:bottom w:val="single" w:sz="12" w:space="0" w:color="000000"/>
            </w:tcBorders>
          </w:tcPr>
          <w:p w:rsidR="001B1C1A" w:rsidRPr="00770237" w:rsidRDefault="004F4FC0" w:rsidP="00453261">
            <w:pPr>
              <w:pStyle w:val="TableBodyText"/>
              <w:jc w:val="center"/>
              <w:rPr>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j op</m:t>
                    </m:r>
                  </m:sub>
                </m:sSub>
              </m:oMath>
            </m:oMathPara>
          </w:p>
        </w:tc>
        <w:tc>
          <w:tcPr>
            <w:tcW w:w="1371" w:type="pct"/>
            <w:tcBorders>
              <w:top w:val="single" w:sz="6" w:space="0" w:color="000000"/>
              <w:bottom w:val="single" w:sz="12" w:space="0" w:color="000000"/>
            </w:tcBorders>
            <w:vAlign w:val="center"/>
          </w:tcPr>
          <w:p w:rsidR="001B1C1A" w:rsidRPr="00C374A0" w:rsidRDefault="001B1C1A" w:rsidP="00453261">
            <w:pPr>
              <w:pStyle w:val="TableBodyText"/>
              <w:jc w:val="center"/>
            </w:pPr>
            <w:r>
              <w:t>150 °C</w:t>
            </w:r>
          </w:p>
        </w:tc>
      </w:tr>
    </w:tbl>
    <w:p w:rsidR="001B1C1A" w:rsidRDefault="001B1C1A" w:rsidP="00E8796F">
      <w:pPr>
        <w:pStyle w:val="TextBody"/>
      </w:pPr>
    </w:p>
    <w:p w:rsidR="00894692" w:rsidRDefault="00894692" w:rsidP="00894692">
      <w:pPr>
        <w:pStyle w:val="Figura"/>
        <w:keepNext/>
        <w:tabs>
          <w:tab w:val="left" w:pos="210"/>
          <w:tab w:val="left" w:pos="278"/>
        </w:tabs>
        <w:spacing w:before="0"/>
        <w:ind w:firstLine="227"/>
        <w:jc w:val="both"/>
      </w:pPr>
      <w:r>
        <w:t xml:space="preserve">A simulação térmica será realizada com o software R-Tools do fabricante de dissipadores </w:t>
      </w:r>
      <w:proofErr w:type="spellStart"/>
      <w:r w:rsidRPr="003919D0">
        <w:rPr>
          <w:i/>
        </w:rPr>
        <w:t>Mersen</w:t>
      </w:r>
      <w:proofErr w:type="spellEnd"/>
      <w:r w:rsidRPr="003919D0">
        <w:rPr>
          <w:i/>
        </w:rPr>
        <w:t>®</w:t>
      </w:r>
      <w:r>
        <w:t xml:space="preserve">. </w:t>
      </w:r>
      <w:r w:rsidRPr="00894692">
        <w:t xml:space="preserve">A </w:t>
      </w:r>
      <w:r w:rsidRPr="00894692">
        <w:fldChar w:fldCharType="begin"/>
      </w:r>
      <w:r w:rsidRPr="00894692">
        <w:instrText xml:space="preserve"> REF _Ref436567503 \h  \* MERGEFORMAT </w:instrText>
      </w:r>
      <w:r w:rsidRPr="00894692">
        <w:fldChar w:fldCharType="separate"/>
      </w:r>
      <w:r w:rsidR="00A96DD5" w:rsidRPr="00A96DD5">
        <w:rPr>
          <w:color w:val="000000" w:themeColor="text1"/>
        </w:rPr>
        <w:t xml:space="preserve">Fig. </w:t>
      </w:r>
      <w:r w:rsidR="00A96DD5" w:rsidRPr="00A96DD5">
        <w:rPr>
          <w:noProof/>
          <w:color w:val="000000" w:themeColor="text1"/>
        </w:rPr>
        <w:t>8</w:t>
      </w:r>
      <w:r w:rsidRPr="00894692">
        <w:fldChar w:fldCharType="end"/>
      </w:r>
      <w:r w:rsidRPr="00894692">
        <w:t xml:space="preserve"> apresenta o layout proposto para o conversor com as chaves bidirecionais</w:t>
      </w:r>
      <w:r>
        <w:t xml:space="preserve"> posicionadas no dissipador. </w:t>
      </w:r>
    </w:p>
    <w:p w:rsidR="00894692" w:rsidRDefault="00894692" w:rsidP="00894692">
      <w:pPr>
        <w:pStyle w:val="Figura"/>
        <w:keepNext/>
        <w:tabs>
          <w:tab w:val="left" w:pos="210"/>
          <w:tab w:val="left" w:pos="278"/>
        </w:tabs>
        <w:spacing w:before="0"/>
        <w:ind w:firstLine="227"/>
        <w:jc w:val="both"/>
      </w:pPr>
      <w:r>
        <w:t xml:space="preserve">Será avaliado a temperatura com duas tecnologias de dissipadores propostas pela </w:t>
      </w:r>
      <w:proofErr w:type="spellStart"/>
      <w:r>
        <w:t>Mersen</w:t>
      </w:r>
      <w:proofErr w:type="spellEnd"/>
      <w:r>
        <w:t xml:space="preserve">: </w:t>
      </w:r>
      <w:proofErr w:type="spellStart"/>
      <w:r>
        <w:t>Extrudado</w:t>
      </w:r>
      <w:proofErr w:type="spellEnd"/>
      <w:r>
        <w:t xml:space="preserve"> modelo 60815 com 250mm de comprimento e </w:t>
      </w:r>
      <w:proofErr w:type="spellStart"/>
      <w:r w:rsidRPr="002A28BD">
        <w:rPr>
          <w:i/>
        </w:rPr>
        <w:t>Hollowfin</w:t>
      </w:r>
      <w:proofErr w:type="spellEnd"/>
      <w:r w:rsidRPr="002A28BD">
        <w:rPr>
          <w:i/>
        </w:rPr>
        <w:t>®</w:t>
      </w:r>
      <w:r>
        <w:t xml:space="preserve"> com 212mm de largura, 250mm de comprimento e altura da aleta de 50mm.</w:t>
      </w:r>
      <w:r w:rsidRPr="0087179D">
        <w:t xml:space="preserve"> </w:t>
      </w:r>
      <w:r>
        <w:t xml:space="preserve">A </w:t>
      </w:r>
      <w:r w:rsidRPr="00894692">
        <w:fldChar w:fldCharType="begin"/>
      </w:r>
      <w:r w:rsidRPr="00894692">
        <w:instrText xml:space="preserve"> REF _Ref436567471 \h  \* MERGEFORMAT </w:instrText>
      </w:r>
      <w:r w:rsidRPr="00894692">
        <w:fldChar w:fldCharType="separate"/>
      </w:r>
      <w:r w:rsidR="00A96DD5" w:rsidRPr="00A96DD5">
        <w:rPr>
          <w:color w:val="000000" w:themeColor="text1"/>
        </w:rPr>
        <w:t xml:space="preserve">Fig. </w:t>
      </w:r>
      <w:r w:rsidR="00A96DD5" w:rsidRPr="00A96DD5">
        <w:rPr>
          <w:noProof/>
          <w:color w:val="000000" w:themeColor="text1"/>
        </w:rPr>
        <w:t>9</w:t>
      </w:r>
      <w:r w:rsidRPr="00894692">
        <w:fldChar w:fldCharType="end"/>
      </w:r>
      <w:r w:rsidRPr="00894692">
        <w:t xml:space="preserve"> e </w:t>
      </w:r>
      <w:r w:rsidRPr="00894692">
        <w:fldChar w:fldCharType="begin"/>
      </w:r>
      <w:r w:rsidRPr="00894692">
        <w:instrText xml:space="preserve"> REF _Ref436567479 \h  \* MERGEFORMAT </w:instrText>
      </w:r>
      <w:r w:rsidRPr="00894692">
        <w:fldChar w:fldCharType="separate"/>
      </w:r>
      <w:r w:rsidR="00A96DD5" w:rsidRPr="00A96DD5">
        <w:rPr>
          <w:color w:val="000000" w:themeColor="text1"/>
        </w:rPr>
        <w:t xml:space="preserve">Fig. </w:t>
      </w:r>
      <w:r w:rsidR="00A96DD5" w:rsidRPr="00A96DD5">
        <w:rPr>
          <w:noProof/>
          <w:color w:val="000000" w:themeColor="text1"/>
        </w:rPr>
        <w:t>10</w:t>
      </w:r>
      <w:r w:rsidRPr="00894692">
        <w:fldChar w:fldCharType="end"/>
      </w:r>
      <w:r w:rsidRPr="00894692">
        <w:t xml:space="preserve"> apresentam</w:t>
      </w:r>
      <w:r>
        <w:t xml:space="preserve"> os dissipadores </w:t>
      </w:r>
      <w:proofErr w:type="spellStart"/>
      <w:r>
        <w:t>extrudado</w:t>
      </w:r>
      <w:proofErr w:type="spellEnd"/>
      <w:r>
        <w:t xml:space="preserve"> e </w:t>
      </w:r>
      <w:proofErr w:type="spellStart"/>
      <w:r w:rsidRPr="002A28BD">
        <w:rPr>
          <w:i/>
        </w:rPr>
        <w:t>Hollowfin</w:t>
      </w:r>
      <w:proofErr w:type="spellEnd"/>
      <w:r w:rsidRPr="002A28BD">
        <w:rPr>
          <w:i/>
        </w:rPr>
        <w:t>®</w:t>
      </w:r>
      <w:r>
        <w:t xml:space="preserve"> respectivamente.</w:t>
      </w:r>
    </w:p>
    <w:p w:rsidR="001B1C1A" w:rsidRDefault="00894692" w:rsidP="00894692">
      <w:pPr>
        <w:pStyle w:val="TextBody"/>
      </w:pPr>
      <w:r>
        <w:t xml:space="preserve">O dissipador contará com refrigeração forçada, utilizando dois ventiladores da marca </w:t>
      </w:r>
      <w:proofErr w:type="spellStart"/>
      <w:r w:rsidRPr="00766A8F">
        <w:rPr>
          <w:i/>
        </w:rPr>
        <w:t>Protechnic</w:t>
      </w:r>
      <w:proofErr w:type="spellEnd"/>
      <w:r w:rsidRPr="002A28BD">
        <w:rPr>
          <w:i/>
        </w:rPr>
        <w:t>®</w:t>
      </w:r>
      <w:r>
        <w:t xml:space="preserve"> modelo </w:t>
      </w:r>
      <w:r w:rsidRPr="00766A8F">
        <w:t>MGT6024XB-O38</w:t>
      </w:r>
      <w:r>
        <w:t>, com 60x60x38mm de dimensões e vazão nominal de 49,3 CFM.</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1AA33150" wp14:editId="01A77D3E">
            <wp:extent cx="2078966" cy="1500750"/>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6389" cy="1513327"/>
                    </a:xfrm>
                    <a:prstGeom prst="rect">
                      <a:avLst/>
                    </a:prstGeom>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7</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Encapsulamento Easy2B®.</w:t>
      </w:r>
    </w:p>
    <w:p w:rsidR="00894692" w:rsidRDefault="00894692" w:rsidP="00894692">
      <w:pPr>
        <w:pStyle w:val="TextBody"/>
      </w:pPr>
    </w:p>
    <w:p w:rsidR="00894692" w:rsidRDefault="00894692" w:rsidP="00894692">
      <w:pPr>
        <w:pStyle w:val="Figura"/>
        <w:keepNext/>
        <w:spacing w:before="0"/>
      </w:pPr>
      <w:r>
        <w:rPr>
          <w:noProof/>
          <w:lang w:eastAsia="pt-BR"/>
        </w:rPr>
        <w:lastRenderedPageBreak/>
        <w:drawing>
          <wp:inline distT="0" distB="0" distL="0" distR="0" wp14:anchorId="117C6953" wp14:editId="6CE158A9">
            <wp:extent cx="1630760" cy="1910686"/>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2820" cy="1936533"/>
                    </a:xfrm>
                    <a:prstGeom prst="rect">
                      <a:avLst/>
                    </a:prstGeom>
                    <a:noFill/>
                    <a:ln>
                      <a:noFill/>
                    </a:ln>
                  </pic:spPr>
                </pic:pic>
              </a:graphicData>
            </a:graphic>
          </wp:inline>
        </w:drawing>
      </w:r>
    </w:p>
    <w:p w:rsidR="00894692" w:rsidRPr="00894692" w:rsidRDefault="00894692" w:rsidP="00894692">
      <w:pPr>
        <w:pStyle w:val="Legenda"/>
        <w:jc w:val="both"/>
        <w:rPr>
          <w:b w:val="0"/>
          <w:i w:val="0"/>
          <w:color w:val="000000" w:themeColor="text1"/>
          <w:lang w:val="en-US"/>
        </w:rPr>
      </w:pPr>
      <w:bookmarkStart w:id="7" w:name="_Ref436567503"/>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8</w:t>
      </w:r>
      <w:r w:rsidRPr="00A926C3">
        <w:rPr>
          <w:b w:val="0"/>
          <w:i w:val="0"/>
          <w:color w:val="000000" w:themeColor="text1"/>
        </w:rPr>
        <w:fldChar w:fldCharType="end"/>
      </w:r>
      <w:bookmarkEnd w:id="7"/>
      <w:r>
        <w:rPr>
          <w:b w:val="0"/>
          <w:i w:val="0"/>
          <w:color w:val="000000" w:themeColor="text1"/>
        </w:rPr>
        <w:t xml:space="preserve">. </w:t>
      </w:r>
      <w:r w:rsidRPr="00894692">
        <w:rPr>
          <w:b w:val="0"/>
          <w:i w:val="0"/>
          <w:color w:val="000000" w:themeColor="text1"/>
          <w:lang w:val="en-US"/>
        </w:rPr>
        <w:t xml:space="preserve">Layout do </w:t>
      </w:r>
      <w:proofErr w:type="spellStart"/>
      <w:r w:rsidRPr="00894692">
        <w:rPr>
          <w:b w:val="0"/>
          <w:i w:val="0"/>
          <w:color w:val="000000" w:themeColor="text1"/>
          <w:lang w:val="en-US"/>
        </w:rPr>
        <w:t>conversor</w:t>
      </w:r>
      <w:proofErr w:type="spellEnd"/>
      <w:r w:rsidRPr="00894692">
        <w:rPr>
          <w:b w:val="0"/>
          <w:i w:val="0"/>
          <w:color w:val="000000" w:themeColor="text1"/>
          <w:lang w:val="en-US"/>
        </w:rPr>
        <w:t xml:space="preserve"> </w:t>
      </w:r>
      <w:proofErr w:type="spellStart"/>
      <w:r w:rsidRPr="00894692">
        <w:rPr>
          <w:b w:val="0"/>
          <w:i w:val="0"/>
          <w:color w:val="000000" w:themeColor="text1"/>
          <w:lang w:val="en-US"/>
        </w:rPr>
        <w:t>proposto</w:t>
      </w:r>
      <w:proofErr w:type="spellEnd"/>
      <w:r w:rsidRPr="00894692">
        <w:rPr>
          <w:b w:val="0"/>
          <w:i w:val="0"/>
          <w:color w:val="000000" w:themeColor="text1"/>
          <w:lang w:val="en-US"/>
        </w:rPr>
        <w:t>.</w:t>
      </w:r>
    </w:p>
    <w:p w:rsidR="00894692" w:rsidRPr="00894692" w:rsidRDefault="00894692" w:rsidP="00894692">
      <w:pPr>
        <w:pStyle w:val="TextBody"/>
        <w:rPr>
          <w:lang w:val="en-US"/>
        </w:rPr>
      </w:pPr>
    </w:p>
    <w:p w:rsidR="00894692" w:rsidRPr="00894692" w:rsidRDefault="00894692" w:rsidP="00894692">
      <w:pPr>
        <w:pStyle w:val="Figura"/>
        <w:keepNext/>
        <w:spacing w:before="0"/>
        <w:rPr>
          <w:lang w:val="en-US"/>
        </w:rPr>
      </w:pPr>
      <w:r>
        <w:rPr>
          <w:noProof/>
          <w:lang w:eastAsia="pt-BR"/>
        </w:rPr>
        <w:drawing>
          <wp:inline distT="0" distB="0" distL="0" distR="0" wp14:anchorId="1D2D006B" wp14:editId="6275CA35">
            <wp:extent cx="2234242" cy="1193922"/>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5804" cy="1200100"/>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bookmarkStart w:id="8" w:name="_Ref436567471"/>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9</w:t>
      </w:r>
      <w:r w:rsidRPr="00A926C3">
        <w:rPr>
          <w:b w:val="0"/>
          <w:i w:val="0"/>
          <w:color w:val="000000" w:themeColor="text1"/>
        </w:rPr>
        <w:fldChar w:fldCharType="end"/>
      </w:r>
      <w:bookmarkEnd w:id="8"/>
      <w:r>
        <w:rPr>
          <w:b w:val="0"/>
          <w:i w:val="0"/>
          <w:color w:val="000000" w:themeColor="text1"/>
        </w:rPr>
        <w:t>.</w:t>
      </w:r>
      <w:r w:rsidRPr="00A926C3">
        <w:rPr>
          <w:b w:val="0"/>
          <w:i w:val="0"/>
          <w:color w:val="000000" w:themeColor="text1"/>
        </w:rPr>
        <w:t xml:space="preserve"> </w:t>
      </w:r>
      <w:r w:rsidRPr="00894692">
        <w:rPr>
          <w:b w:val="0"/>
          <w:i w:val="0"/>
          <w:color w:val="000000" w:themeColor="text1"/>
        </w:rPr>
        <w:t xml:space="preserve">Dissipador </w:t>
      </w:r>
      <w:proofErr w:type="spellStart"/>
      <w:r w:rsidRPr="00894692">
        <w:rPr>
          <w:b w:val="0"/>
          <w:i w:val="0"/>
          <w:color w:val="000000" w:themeColor="text1"/>
        </w:rPr>
        <w:t>extrudado</w:t>
      </w:r>
      <w:proofErr w:type="spellEnd"/>
      <w:r w:rsidRPr="00894692">
        <w:rPr>
          <w:b w:val="0"/>
          <w:i w:val="0"/>
          <w:color w:val="000000" w:themeColor="text1"/>
        </w:rPr>
        <w:t xml:space="preserve"> modelo 60815. Dimensões </w:t>
      </w:r>
      <w:proofErr w:type="gramStart"/>
      <w:r w:rsidRPr="00894692">
        <w:rPr>
          <w:b w:val="0"/>
          <w:i w:val="0"/>
          <w:color w:val="000000" w:themeColor="text1"/>
        </w:rPr>
        <w:t>em  mm</w:t>
      </w:r>
      <w:proofErr w:type="gramEnd"/>
      <w:r w:rsidRPr="00894692">
        <w:rPr>
          <w:b w:val="0"/>
          <w:i w:val="0"/>
          <w:color w:val="000000" w:themeColor="text1"/>
        </w:rPr>
        <w:t>[</w:t>
      </w:r>
      <w:proofErr w:type="spellStart"/>
      <w:r w:rsidRPr="00894692">
        <w:rPr>
          <w:b w:val="0"/>
          <w:i w:val="0"/>
          <w:color w:val="000000" w:themeColor="text1"/>
        </w:rPr>
        <w:t>pol</w:t>
      </w:r>
      <w:proofErr w:type="spellEnd"/>
      <w:r w:rsidRPr="00894692">
        <w:rPr>
          <w:b w:val="0"/>
          <w:i w:val="0"/>
          <w:color w:val="000000" w:themeColor="text1"/>
        </w:rPr>
        <w:t>].</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5BDB3C14" wp14:editId="049CA988">
            <wp:extent cx="2105133" cy="13050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5946" cy="1311731"/>
                    </a:xfrm>
                    <a:prstGeom prst="rect">
                      <a:avLst/>
                    </a:prstGeom>
                  </pic:spPr>
                </pic:pic>
              </a:graphicData>
            </a:graphic>
          </wp:inline>
        </w:drawing>
      </w:r>
    </w:p>
    <w:p w:rsidR="00894692" w:rsidRPr="00A926C3" w:rsidRDefault="00894692" w:rsidP="00894692">
      <w:pPr>
        <w:pStyle w:val="Legenda"/>
        <w:jc w:val="both"/>
        <w:rPr>
          <w:b w:val="0"/>
          <w:i w:val="0"/>
          <w:color w:val="000000" w:themeColor="text1"/>
        </w:rPr>
      </w:pPr>
      <w:bookmarkStart w:id="9" w:name="_Ref436567479"/>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10</w:t>
      </w:r>
      <w:r w:rsidRPr="00A926C3">
        <w:rPr>
          <w:b w:val="0"/>
          <w:i w:val="0"/>
          <w:color w:val="000000" w:themeColor="text1"/>
        </w:rPr>
        <w:fldChar w:fldCharType="end"/>
      </w:r>
      <w:bookmarkEnd w:id="9"/>
      <w:r>
        <w:rPr>
          <w:b w:val="0"/>
          <w:i w:val="0"/>
          <w:color w:val="000000" w:themeColor="text1"/>
        </w:rPr>
        <w:t>.</w:t>
      </w:r>
      <w:r w:rsidRPr="00894692">
        <w:rPr>
          <w:b w:val="0"/>
          <w:color w:val="000000" w:themeColor="text1"/>
        </w:rPr>
        <w:t xml:space="preserve"> </w:t>
      </w:r>
      <w:r w:rsidRPr="00894692">
        <w:rPr>
          <w:b w:val="0"/>
          <w:i w:val="0"/>
          <w:color w:val="000000" w:themeColor="text1"/>
        </w:rPr>
        <w:t xml:space="preserve">Dissipador </w:t>
      </w:r>
      <w:proofErr w:type="spellStart"/>
      <w:r w:rsidRPr="00894692">
        <w:rPr>
          <w:b w:val="0"/>
          <w:color w:val="000000" w:themeColor="text1"/>
        </w:rPr>
        <w:t>Hollowfin</w:t>
      </w:r>
      <w:proofErr w:type="spellEnd"/>
      <w:r w:rsidRPr="00894692">
        <w:rPr>
          <w:b w:val="0"/>
          <w:color w:val="000000" w:themeColor="text1"/>
        </w:rPr>
        <w:t>®</w:t>
      </w:r>
      <w:r w:rsidRPr="00894692">
        <w:rPr>
          <w:b w:val="0"/>
          <w:i w:val="0"/>
          <w:color w:val="000000" w:themeColor="text1"/>
        </w:rPr>
        <w:t>. Imagem ilustrativa.</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 xml:space="preserve">A Tabela </w:t>
      </w:r>
      <w:r w:rsidR="007B4CC3">
        <w:t>I</w:t>
      </w:r>
      <w:r>
        <w:t>II apresenta o resultados do cálculo de perdas considerando corrente de saídas de 17Arms, 24Arms, 31Arms, e frequências de chaveamento de 10 kHz, 20 kHz e 30 kHz.</w:t>
      </w:r>
    </w:p>
    <w:p w:rsidR="00894692" w:rsidRPr="00E36454" w:rsidRDefault="00894692" w:rsidP="00894692">
      <w:pPr>
        <w:pStyle w:val="Figura"/>
        <w:keepNext/>
        <w:tabs>
          <w:tab w:val="left" w:pos="210"/>
          <w:tab w:val="left" w:pos="278"/>
        </w:tabs>
        <w:spacing w:before="0"/>
        <w:ind w:firstLine="227"/>
        <w:jc w:val="both"/>
      </w:pPr>
    </w:p>
    <w:p w:rsidR="00894692" w:rsidRPr="00C374A0" w:rsidRDefault="00894692" w:rsidP="00894692">
      <w:pPr>
        <w:pStyle w:val="TableCaption"/>
      </w:pPr>
      <w:r w:rsidRPr="00C374A0">
        <w:t>T</w:t>
      </w:r>
      <w:r>
        <w:t xml:space="preserve">ABELA </w:t>
      </w:r>
      <w:r w:rsidR="007B4CC3">
        <w:t>I</w:t>
      </w:r>
      <w:r>
        <w:t>I</w:t>
      </w:r>
      <w:r w:rsidRPr="00C374A0">
        <w:t>I</w:t>
      </w:r>
    </w:p>
    <w:p w:rsidR="00894692" w:rsidRPr="00C374A0" w:rsidRDefault="00894692" w:rsidP="00894692">
      <w:pPr>
        <w:pStyle w:val="TableCaption"/>
      </w:pPr>
      <w:r>
        <w:t>Perdas totais do conversor (W)</w:t>
      </w:r>
    </w:p>
    <w:tbl>
      <w:tblPr>
        <w:tblW w:w="5000" w:type="pct"/>
        <w:tblCellMar>
          <w:left w:w="70" w:type="dxa"/>
          <w:right w:w="70" w:type="dxa"/>
        </w:tblCellMar>
        <w:tblLook w:val="0000" w:firstRow="0" w:lastRow="0" w:firstColumn="0" w:lastColumn="0" w:noHBand="0" w:noVBand="0"/>
      </w:tblPr>
      <w:tblGrid>
        <w:gridCol w:w="1318"/>
        <w:gridCol w:w="912"/>
        <w:gridCol w:w="910"/>
        <w:gridCol w:w="896"/>
        <w:gridCol w:w="10"/>
        <w:gridCol w:w="886"/>
      </w:tblGrid>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0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90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209,32</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312</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414,68</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316,49</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461,44</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606,4</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12" w:space="0" w:color="000000"/>
            </w:tcBorders>
            <w:vAlign w:val="center"/>
          </w:tcPr>
          <w:p w:rsidR="00894692" w:rsidRPr="00C374A0" w:rsidRDefault="00894692" w:rsidP="00453261">
            <w:pPr>
              <w:pStyle w:val="TableBodyText"/>
              <w:jc w:val="center"/>
            </w:pPr>
            <w:r>
              <w:t>426,06</w:t>
            </w:r>
          </w:p>
        </w:tc>
        <w:tc>
          <w:tcPr>
            <w:tcW w:w="923" w:type="pct"/>
            <w:tcBorders>
              <w:top w:val="single" w:sz="6" w:space="0" w:color="000000"/>
              <w:bottom w:val="single" w:sz="12" w:space="0" w:color="000000"/>
            </w:tcBorders>
            <w:vAlign w:val="center"/>
          </w:tcPr>
          <w:p w:rsidR="00894692" w:rsidRPr="00C374A0" w:rsidRDefault="00894692" w:rsidP="00453261">
            <w:pPr>
              <w:pStyle w:val="TableBodyText"/>
              <w:jc w:val="center"/>
            </w:pPr>
            <w:r>
              <w:t>613,29</w:t>
            </w:r>
          </w:p>
        </w:tc>
        <w:tc>
          <w:tcPr>
            <w:tcW w:w="918" w:type="pct"/>
            <w:gridSpan w:val="2"/>
            <w:tcBorders>
              <w:top w:val="single" w:sz="6" w:space="0" w:color="000000"/>
              <w:bottom w:val="single" w:sz="12" w:space="0" w:color="000000"/>
            </w:tcBorders>
            <w:vAlign w:val="center"/>
          </w:tcPr>
          <w:p w:rsidR="00894692" w:rsidRPr="00C374A0" w:rsidRDefault="00894692" w:rsidP="00453261">
            <w:pPr>
              <w:pStyle w:val="TableBodyText"/>
              <w:jc w:val="center"/>
            </w:pPr>
            <w:r>
              <w:t>800,53</w:t>
            </w:r>
          </w:p>
        </w:tc>
        <w:tc>
          <w:tcPr>
            <w:tcW w:w="898" w:type="pct"/>
            <w:tcBorders>
              <w:top w:val="single" w:sz="6" w:space="0" w:color="000000"/>
              <w:bottom w:val="single" w:sz="12" w:space="0" w:color="000000"/>
            </w:tcBorders>
            <w:vAlign w:val="center"/>
          </w:tcPr>
          <w:p w:rsidR="00894692" w:rsidRPr="00C374A0" w:rsidRDefault="00894692" w:rsidP="00453261">
            <w:pPr>
              <w:pStyle w:val="TableBodyText"/>
              <w:jc w:val="center"/>
            </w:pPr>
          </w:p>
        </w:tc>
      </w:tr>
    </w:tbl>
    <w:p w:rsidR="00894692" w:rsidRDefault="00894692" w:rsidP="00894692">
      <w:pPr>
        <w:pStyle w:val="Figura"/>
        <w:keepNext/>
        <w:tabs>
          <w:tab w:val="left" w:pos="210"/>
          <w:tab w:val="left" w:pos="278"/>
        </w:tabs>
        <w:spacing w:before="0"/>
        <w:ind w:firstLine="227"/>
        <w:jc w:val="both"/>
      </w:pPr>
    </w:p>
    <w:p w:rsidR="00070C92" w:rsidRPr="00387AC1" w:rsidRDefault="00894692" w:rsidP="00070C92">
      <w:pPr>
        <w:pStyle w:val="Figura"/>
        <w:keepNext/>
        <w:tabs>
          <w:tab w:val="left" w:pos="210"/>
          <w:tab w:val="left" w:pos="278"/>
        </w:tabs>
        <w:spacing w:before="0"/>
        <w:ind w:firstLine="227"/>
        <w:jc w:val="both"/>
      </w:pPr>
      <w:r>
        <w:t>Considerando as condições abaixo foram realizados os cálculos da temperatura de junção do semicondutor, utilizando os dois dissipadores propostos:</w:t>
      </w:r>
    </w:p>
    <w:p w:rsidR="00070C92" w:rsidRDefault="00070C92" w:rsidP="00070C92">
      <w:pPr>
        <w:pStyle w:val="TextBody"/>
        <w:numPr>
          <w:ilvl w:val="0"/>
          <w:numId w:val="3"/>
        </w:numPr>
        <w:tabs>
          <w:tab w:val="clear" w:pos="947"/>
          <w:tab w:val="num" w:pos="426"/>
          <w:tab w:val="left" w:pos="2556"/>
        </w:tabs>
        <w:ind w:left="426"/>
      </w:pPr>
      <w:r>
        <w:t>Temperatura ambiente de 50 °C</w:t>
      </w:r>
      <w:r w:rsidRPr="00387AC1">
        <w:t>;</w:t>
      </w:r>
    </w:p>
    <w:p w:rsidR="00070C92" w:rsidRDefault="00070C92" w:rsidP="00070C92">
      <w:pPr>
        <w:pStyle w:val="TextBody"/>
        <w:numPr>
          <w:ilvl w:val="0"/>
          <w:numId w:val="3"/>
        </w:numPr>
        <w:tabs>
          <w:tab w:val="clear" w:pos="947"/>
          <w:tab w:val="num" w:pos="426"/>
          <w:tab w:val="left" w:pos="2556"/>
        </w:tabs>
        <w:ind w:left="426"/>
      </w:pPr>
      <w:r>
        <w:t xml:space="preserve">Resistência térmica do módulo entre junção e </w:t>
      </w:r>
      <w:r w:rsidRPr="005C751E">
        <w:rPr>
          <w:i/>
        </w:rPr>
        <w:t>case</w:t>
      </w:r>
      <w:r>
        <w:t xml:space="preserve"> igual a 0,50 °C/W;</w:t>
      </w:r>
    </w:p>
    <w:p w:rsidR="00070C92" w:rsidRDefault="00070C92" w:rsidP="00070C92">
      <w:pPr>
        <w:pStyle w:val="TextBody"/>
        <w:numPr>
          <w:ilvl w:val="0"/>
          <w:numId w:val="3"/>
        </w:numPr>
        <w:tabs>
          <w:tab w:val="clear" w:pos="947"/>
          <w:tab w:val="num" w:pos="426"/>
          <w:tab w:val="left" w:pos="2556"/>
        </w:tabs>
        <w:ind w:left="426"/>
      </w:pPr>
      <w:r>
        <w:t>Desconsiderando a resistência térmica da pasta térmica;</w:t>
      </w:r>
    </w:p>
    <w:p w:rsidR="00070C92" w:rsidRDefault="00070C92" w:rsidP="00070C92">
      <w:pPr>
        <w:pStyle w:val="TextBody"/>
        <w:numPr>
          <w:ilvl w:val="0"/>
          <w:numId w:val="3"/>
        </w:numPr>
        <w:tabs>
          <w:tab w:val="clear" w:pos="947"/>
          <w:tab w:val="num" w:pos="426"/>
          <w:tab w:val="left" w:pos="2556"/>
        </w:tabs>
        <w:ind w:left="426"/>
      </w:pPr>
      <w:r>
        <w:t>Desconsiderando a resistência mecânica imposta pelo dissipador ao ventilador;</w:t>
      </w:r>
    </w:p>
    <w:p w:rsidR="00894692" w:rsidRDefault="00894692" w:rsidP="00894692">
      <w:pPr>
        <w:pStyle w:val="Figura"/>
        <w:keepNext/>
        <w:tabs>
          <w:tab w:val="left" w:pos="210"/>
          <w:tab w:val="left" w:pos="278"/>
        </w:tabs>
        <w:spacing w:before="0"/>
        <w:ind w:firstLine="227"/>
        <w:jc w:val="both"/>
      </w:pPr>
      <w:r>
        <w:lastRenderedPageBreak/>
        <w:t>A Tabela I</w:t>
      </w:r>
      <w:r w:rsidR="007B4CC3">
        <w:t>V</w:t>
      </w:r>
      <w:r>
        <w:t xml:space="preserve"> apresenta o resultados de simulação.</w:t>
      </w:r>
    </w:p>
    <w:p w:rsidR="00894692" w:rsidRPr="00E36454" w:rsidRDefault="00894692" w:rsidP="00894692">
      <w:pPr>
        <w:pStyle w:val="Figura"/>
        <w:keepNext/>
        <w:tabs>
          <w:tab w:val="left" w:pos="210"/>
          <w:tab w:val="left" w:pos="278"/>
        </w:tabs>
        <w:spacing w:before="0"/>
        <w:ind w:firstLine="227"/>
        <w:jc w:val="both"/>
      </w:pPr>
    </w:p>
    <w:p w:rsidR="00894692" w:rsidRPr="00C374A0" w:rsidRDefault="00894692" w:rsidP="00894692">
      <w:pPr>
        <w:pStyle w:val="TableCaption"/>
      </w:pPr>
      <w:r w:rsidRPr="00C374A0">
        <w:t>T</w:t>
      </w:r>
      <w:r>
        <w:t>ABELA I</w:t>
      </w:r>
      <w:r w:rsidR="007B4CC3">
        <w:t>V</w:t>
      </w:r>
    </w:p>
    <w:p w:rsidR="00894692" w:rsidRPr="00C374A0" w:rsidRDefault="00894692" w:rsidP="00894692">
      <w:pPr>
        <w:pStyle w:val="TableCaption"/>
      </w:pPr>
      <w:r>
        <w:t>Temperatura de junção do semicondutor (°C)</w:t>
      </w:r>
    </w:p>
    <w:tbl>
      <w:tblPr>
        <w:tblW w:w="5000" w:type="pct"/>
        <w:tblCellMar>
          <w:left w:w="70" w:type="dxa"/>
          <w:right w:w="70" w:type="dxa"/>
        </w:tblCellMar>
        <w:tblLook w:val="0000" w:firstRow="0" w:lastRow="0" w:firstColumn="0" w:lastColumn="0" w:noHBand="0" w:noVBand="0"/>
      </w:tblPr>
      <w:tblGrid>
        <w:gridCol w:w="1318"/>
        <w:gridCol w:w="912"/>
        <w:gridCol w:w="910"/>
        <w:gridCol w:w="896"/>
        <w:gridCol w:w="10"/>
        <w:gridCol w:w="886"/>
      </w:tblGrid>
      <w:tr w:rsidR="00894692" w:rsidRPr="00C374A0" w:rsidTr="00453261">
        <w:tc>
          <w:tcPr>
            <w:tcW w:w="5000" w:type="pct"/>
            <w:gridSpan w:val="6"/>
            <w:tcBorders>
              <w:top w:val="single" w:sz="12" w:space="0" w:color="auto"/>
              <w:bottom w:val="single" w:sz="6" w:space="0" w:color="000000"/>
            </w:tcBorders>
          </w:tcPr>
          <w:p w:rsidR="00894692" w:rsidRPr="00E36454" w:rsidRDefault="00894692" w:rsidP="00453261">
            <w:pPr>
              <w:pStyle w:val="TableBodyText"/>
              <w:jc w:val="center"/>
              <w:rPr>
                <w:b/>
              </w:rPr>
            </w:pPr>
            <w:r>
              <w:rPr>
                <w:b/>
              </w:rPr>
              <w:t xml:space="preserve">Dissipador </w:t>
            </w:r>
            <w:proofErr w:type="spellStart"/>
            <w:r>
              <w:rPr>
                <w:b/>
              </w:rPr>
              <w:t>Extrudado</w:t>
            </w:r>
            <w:proofErr w:type="spellEnd"/>
            <w:r>
              <w:rPr>
                <w:b/>
              </w:rPr>
              <w:t xml:space="preserve"> Modelo 60815</w:t>
            </w:r>
          </w:p>
        </w:tc>
      </w:tr>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0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90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77,2</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90,8</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102,2</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90,8</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108,9</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127</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104,4</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127</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151,5</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auto"/>
            </w:tcBorders>
          </w:tcPr>
          <w:p w:rsidR="00894692" w:rsidRPr="009F0490" w:rsidRDefault="00894692" w:rsidP="00453261">
            <w:pPr>
              <w:pStyle w:val="TableBodyText"/>
              <w:jc w:val="center"/>
              <w:rPr>
                <w:b/>
              </w:rPr>
            </w:pPr>
          </w:p>
        </w:tc>
        <w:tc>
          <w:tcPr>
            <w:tcW w:w="925"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23"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18" w:type="pct"/>
            <w:gridSpan w:val="2"/>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5000" w:type="pct"/>
            <w:gridSpan w:val="6"/>
            <w:tcBorders>
              <w:top w:val="single" w:sz="12" w:space="0" w:color="auto"/>
              <w:bottom w:val="single" w:sz="6" w:space="0" w:color="000000"/>
            </w:tcBorders>
          </w:tcPr>
          <w:p w:rsidR="00894692" w:rsidRPr="00C374A0" w:rsidRDefault="00894692" w:rsidP="00453261">
            <w:pPr>
              <w:pStyle w:val="TableBodyText"/>
              <w:jc w:val="center"/>
            </w:pPr>
            <w:r>
              <w:rPr>
                <w:b/>
              </w:rPr>
              <w:t xml:space="preserve">Dissipador </w:t>
            </w:r>
            <w:proofErr w:type="spellStart"/>
            <w:r w:rsidRPr="00241466">
              <w:rPr>
                <w:b/>
              </w:rPr>
              <w:t>Hollowfin</w:t>
            </w:r>
            <w:proofErr w:type="spellEnd"/>
            <w:r w:rsidRPr="00241466">
              <w:rPr>
                <w:b/>
              </w:rPr>
              <w:t>®</w:t>
            </w:r>
          </w:p>
        </w:tc>
      </w:tr>
      <w:tr w:rsidR="00894692" w:rsidRPr="00C374A0" w:rsidTr="00453261">
        <w:tc>
          <w:tcPr>
            <w:tcW w:w="1336" w:type="pct"/>
            <w:tcBorders>
              <w:top w:val="single" w:sz="6" w:space="0" w:color="000000"/>
              <w:bottom w:val="single" w:sz="6" w:space="0" w:color="000000"/>
            </w:tcBorders>
          </w:tcPr>
          <w:p w:rsidR="00894692" w:rsidRDefault="00894692" w:rsidP="00453261">
            <w:pPr>
              <w:pStyle w:val="TableBodyText"/>
              <w:jc w:val="center"/>
              <w:rPr>
                <w:b/>
              </w:rPr>
            </w:pPr>
          </w:p>
        </w:tc>
        <w:tc>
          <w:tcPr>
            <w:tcW w:w="925"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17A</w:t>
            </w:r>
          </w:p>
        </w:tc>
        <w:tc>
          <w:tcPr>
            <w:tcW w:w="923"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24A</w:t>
            </w:r>
          </w:p>
        </w:tc>
        <w:tc>
          <w:tcPr>
            <w:tcW w:w="918" w:type="pct"/>
            <w:gridSpan w:val="2"/>
            <w:tcBorders>
              <w:top w:val="single" w:sz="6" w:space="0" w:color="000000"/>
              <w:bottom w:val="single" w:sz="6" w:space="0" w:color="000000"/>
            </w:tcBorders>
            <w:vAlign w:val="center"/>
          </w:tcPr>
          <w:p w:rsidR="00894692" w:rsidRPr="00E36454" w:rsidRDefault="00894692" w:rsidP="00453261">
            <w:pPr>
              <w:pStyle w:val="TableBodyText"/>
              <w:jc w:val="center"/>
              <w:rPr>
                <w:b/>
              </w:rPr>
            </w:pPr>
            <w:r>
              <w:rPr>
                <w:b/>
              </w:rPr>
              <w:t>31A</w:t>
            </w:r>
          </w:p>
        </w:tc>
        <w:tc>
          <w:tcPr>
            <w:tcW w:w="898" w:type="pct"/>
            <w:tcBorders>
              <w:top w:val="single" w:sz="6" w:space="0" w:color="000000"/>
              <w:bottom w:val="single" w:sz="6" w:space="0" w:color="000000"/>
            </w:tcBorders>
            <w:vAlign w:val="center"/>
          </w:tcPr>
          <w:p w:rsidR="00894692" w:rsidRPr="00E36454" w:rsidRDefault="00894692" w:rsidP="00453261">
            <w:pPr>
              <w:pStyle w:val="TableBodyText"/>
              <w:jc w:val="center"/>
              <w:rPr>
                <w:b/>
              </w:rP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10kHz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61,7</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67,5</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72,4</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20kHz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67,5</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75,3</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83,1</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6" w:space="0" w:color="000000"/>
            </w:tcBorders>
          </w:tcPr>
          <w:p w:rsidR="00894692" w:rsidRPr="009F0490" w:rsidRDefault="00894692" w:rsidP="00453261">
            <w:pPr>
              <w:pStyle w:val="TableBodyText"/>
              <w:jc w:val="center"/>
              <w:rPr>
                <w:b/>
              </w:rPr>
            </w:pPr>
            <w:r w:rsidRPr="009F0490">
              <w:rPr>
                <w:b/>
              </w:rPr>
              <w:t>30kHz</w:t>
            </w:r>
          </w:p>
        </w:tc>
        <w:tc>
          <w:tcPr>
            <w:tcW w:w="925" w:type="pct"/>
            <w:tcBorders>
              <w:top w:val="single" w:sz="6" w:space="0" w:color="000000"/>
              <w:bottom w:val="single" w:sz="6" w:space="0" w:color="000000"/>
            </w:tcBorders>
            <w:vAlign w:val="center"/>
          </w:tcPr>
          <w:p w:rsidR="00894692" w:rsidRPr="00C374A0" w:rsidRDefault="00894692" w:rsidP="00453261">
            <w:pPr>
              <w:pStyle w:val="TableBodyText"/>
              <w:jc w:val="center"/>
            </w:pPr>
            <w:r>
              <w:t>73,4</w:t>
            </w:r>
          </w:p>
        </w:tc>
        <w:tc>
          <w:tcPr>
            <w:tcW w:w="923" w:type="pct"/>
            <w:tcBorders>
              <w:top w:val="single" w:sz="6" w:space="0" w:color="000000"/>
              <w:bottom w:val="single" w:sz="6" w:space="0" w:color="000000"/>
            </w:tcBorders>
            <w:vAlign w:val="center"/>
          </w:tcPr>
          <w:p w:rsidR="00894692" w:rsidRPr="00C374A0" w:rsidRDefault="00894692" w:rsidP="00453261">
            <w:pPr>
              <w:pStyle w:val="TableBodyText"/>
              <w:jc w:val="center"/>
            </w:pPr>
            <w:r>
              <w:t>83,1</w:t>
            </w:r>
          </w:p>
        </w:tc>
        <w:tc>
          <w:tcPr>
            <w:tcW w:w="918" w:type="pct"/>
            <w:gridSpan w:val="2"/>
            <w:tcBorders>
              <w:top w:val="single" w:sz="6" w:space="0" w:color="000000"/>
              <w:bottom w:val="single" w:sz="6" w:space="0" w:color="000000"/>
            </w:tcBorders>
            <w:vAlign w:val="center"/>
          </w:tcPr>
          <w:p w:rsidR="00894692" w:rsidRPr="00C374A0" w:rsidRDefault="00894692" w:rsidP="00453261">
            <w:pPr>
              <w:pStyle w:val="TableBodyText"/>
              <w:jc w:val="center"/>
            </w:pPr>
            <w:r>
              <w:t>93,8</w:t>
            </w:r>
          </w:p>
        </w:tc>
        <w:tc>
          <w:tcPr>
            <w:tcW w:w="898" w:type="pct"/>
            <w:tcBorders>
              <w:top w:val="single" w:sz="6" w:space="0" w:color="000000"/>
              <w:bottom w:val="single" w:sz="6" w:space="0" w:color="000000"/>
            </w:tcBorders>
            <w:vAlign w:val="center"/>
          </w:tcPr>
          <w:p w:rsidR="00894692" w:rsidRPr="00C374A0" w:rsidRDefault="00894692" w:rsidP="00453261">
            <w:pPr>
              <w:pStyle w:val="TableBodyText"/>
              <w:jc w:val="center"/>
            </w:pPr>
          </w:p>
        </w:tc>
      </w:tr>
      <w:tr w:rsidR="00894692" w:rsidRPr="00C374A0" w:rsidTr="00453261">
        <w:tc>
          <w:tcPr>
            <w:tcW w:w="1336" w:type="pct"/>
            <w:tcBorders>
              <w:top w:val="single" w:sz="6" w:space="0" w:color="000000"/>
              <w:bottom w:val="single" w:sz="12" w:space="0" w:color="auto"/>
            </w:tcBorders>
          </w:tcPr>
          <w:p w:rsidR="00894692" w:rsidRPr="009F0490" w:rsidRDefault="00894692" w:rsidP="00453261">
            <w:pPr>
              <w:pStyle w:val="TableBodyText"/>
              <w:jc w:val="center"/>
              <w:rPr>
                <w:b/>
              </w:rPr>
            </w:pPr>
          </w:p>
        </w:tc>
        <w:tc>
          <w:tcPr>
            <w:tcW w:w="925"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23" w:type="pct"/>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918" w:type="pct"/>
            <w:gridSpan w:val="2"/>
            <w:tcBorders>
              <w:top w:val="single" w:sz="6" w:space="0" w:color="000000"/>
              <w:bottom w:val="single" w:sz="12" w:space="0" w:color="auto"/>
            </w:tcBorders>
            <w:vAlign w:val="center"/>
          </w:tcPr>
          <w:p w:rsidR="00894692" w:rsidRPr="00C374A0" w:rsidRDefault="00894692" w:rsidP="00453261">
            <w:pPr>
              <w:pStyle w:val="TableBodyText"/>
              <w:jc w:val="center"/>
            </w:pPr>
          </w:p>
        </w:tc>
        <w:tc>
          <w:tcPr>
            <w:tcW w:w="898" w:type="pct"/>
            <w:tcBorders>
              <w:top w:val="single" w:sz="6" w:space="0" w:color="000000"/>
              <w:bottom w:val="single" w:sz="12" w:space="0" w:color="auto"/>
            </w:tcBorders>
            <w:vAlign w:val="center"/>
          </w:tcPr>
          <w:p w:rsidR="00894692" w:rsidRPr="00C374A0" w:rsidRDefault="00894692" w:rsidP="00453261">
            <w:pPr>
              <w:pStyle w:val="TableBodyText"/>
              <w:jc w:val="center"/>
            </w:pPr>
          </w:p>
        </w:tc>
      </w:tr>
    </w:tbl>
    <w:p w:rsidR="00894692" w:rsidRDefault="00894692" w:rsidP="00894692">
      <w:pPr>
        <w:pStyle w:val="TextBody"/>
      </w:pPr>
    </w:p>
    <w:p w:rsidR="00894692" w:rsidRDefault="00894692" w:rsidP="00894692">
      <w:pPr>
        <w:pStyle w:val="Figura"/>
        <w:keepNext/>
        <w:tabs>
          <w:tab w:val="left" w:pos="210"/>
          <w:tab w:val="left" w:pos="278"/>
        </w:tabs>
        <w:spacing w:before="0"/>
        <w:ind w:firstLine="227"/>
        <w:jc w:val="both"/>
      </w:pPr>
      <w:r>
        <w:t>As figuras a seguir apresentam as imagens térmicas obtidas com a simulação para a corrente de 31A, frequência de chaveamento de 30 kHz e as duas tecnologias de dissipadores avaliados.</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1832C8FE" wp14:editId="6F558825">
            <wp:extent cx="3130086" cy="2510287"/>
            <wp:effectExtent l="0" t="0" r="0" b="4445"/>
            <wp:docPr id="2" name="Imagem 2" descr="C:\projetos\ED1\trunk\Imagens\50CFM\Simulação Extrudado 50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tos\ED1\trunk\Imagens\50CFM\Simulação Extrudado 50CFM 45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0239" cy="2542489"/>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11</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 </w:t>
      </w:r>
      <w:proofErr w:type="spellStart"/>
      <w:r w:rsidRPr="00894692">
        <w:rPr>
          <w:b w:val="0"/>
          <w:i w:val="0"/>
          <w:color w:val="000000" w:themeColor="text1"/>
        </w:rPr>
        <w:t>extrudado</w:t>
      </w:r>
      <w:proofErr w:type="spellEnd"/>
      <w:r w:rsidRPr="00894692">
        <w:rPr>
          <w:b w:val="0"/>
          <w:i w:val="0"/>
          <w:color w:val="000000" w:themeColor="text1"/>
        </w:rPr>
        <w:t xml:space="preserve"> modelo 60815.</w:t>
      </w:r>
    </w:p>
    <w:p w:rsidR="00894692" w:rsidRDefault="00894692" w:rsidP="00894692">
      <w:pPr>
        <w:pStyle w:val="TextBody"/>
      </w:pPr>
    </w:p>
    <w:p w:rsidR="00894692" w:rsidRDefault="00894692" w:rsidP="00894692">
      <w:pPr>
        <w:pStyle w:val="Figura"/>
        <w:keepNext/>
        <w:spacing w:before="0"/>
      </w:pPr>
      <w:r>
        <w:rPr>
          <w:noProof/>
          <w:lang w:eastAsia="pt-BR"/>
        </w:rPr>
        <w:drawing>
          <wp:inline distT="0" distB="0" distL="0" distR="0" wp14:anchorId="7043F311" wp14:editId="79D0C92F">
            <wp:extent cx="3091030" cy="2510287"/>
            <wp:effectExtent l="0" t="0" r="0" b="4445"/>
            <wp:docPr id="19" name="Imagem 19" descr="C:\projetos\ED1\trunk\Imagens\50CFM\Simulação Hollowfin 50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tos\ED1\trunk\Imagens\50CFM\Simulação Hollowfin 50CFM 45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4656" cy="2578201"/>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12</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w:t>
      </w:r>
      <w:r w:rsidRPr="00894692">
        <w:rPr>
          <w:i w:val="0"/>
        </w:rPr>
        <w:t xml:space="preserve"> </w:t>
      </w:r>
      <w:proofErr w:type="spellStart"/>
      <w:r>
        <w:rPr>
          <w:b w:val="0"/>
          <w:color w:val="000000" w:themeColor="text1"/>
        </w:rPr>
        <w:t>Hollowfin</w:t>
      </w:r>
      <w:proofErr w:type="spellEnd"/>
      <w:r>
        <w:rPr>
          <w:b w:val="0"/>
          <w:color w:val="000000" w:themeColor="text1"/>
        </w:rPr>
        <w:t>®.</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tabs>
          <w:tab w:val="left" w:pos="210"/>
          <w:tab w:val="left" w:pos="278"/>
        </w:tabs>
        <w:spacing w:before="0"/>
        <w:ind w:firstLine="227"/>
        <w:jc w:val="both"/>
      </w:pPr>
      <w:r>
        <w:t xml:space="preserve">A figura a seguir apresenta a imagem térmica utilizando dissipador com tecnologia </w:t>
      </w:r>
      <w:proofErr w:type="spellStart"/>
      <w:r w:rsidRPr="00973C85">
        <w:rPr>
          <w:i/>
        </w:rPr>
        <w:t>Hollowfin</w:t>
      </w:r>
      <w:proofErr w:type="spellEnd"/>
      <w:r w:rsidRPr="00973C85">
        <w:rPr>
          <w:i/>
        </w:rPr>
        <w:t>®</w:t>
      </w:r>
      <w:r>
        <w:t xml:space="preserve"> e apenas um ventilador no dissipador. Foi possível obter temperatura de junção de 106,6 °C</w:t>
      </w:r>
      <w:r w:rsidR="004177D4">
        <w:t xml:space="preserve"> com esta configuração</w:t>
      </w:r>
      <w:r>
        <w:t>.</w:t>
      </w:r>
    </w:p>
    <w:p w:rsidR="00894692" w:rsidRDefault="00894692" w:rsidP="00894692">
      <w:pPr>
        <w:pStyle w:val="Figura"/>
        <w:keepNext/>
        <w:tabs>
          <w:tab w:val="left" w:pos="210"/>
          <w:tab w:val="left" w:pos="278"/>
        </w:tabs>
        <w:spacing w:before="0"/>
        <w:ind w:firstLine="227"/>
        <w:jc w:val="both"/>
      </w:pPr>
    </w:p>
    <w:p w:rsidR="00894692" w:rsidRDefault="00894692" w:rsidP="00894692">
      <w:pPr>
        <w:pStyle w:val="Figura"/>
        <w:keepNext/>
        <w:spacing w:before="0"/>
      </w:pPr>
      <w:r>
        <w:rPr>
          <w:noProof/>
          <w:lang w:eastAsia="pt-BR"/>
        </w:rPr>
        <w:drawing>
          <wp:inline distT="0" distB="0" distL="0" distR="0" wp14:anchorId="1B76EAC8" wp14:editId="3C19B03B">
            <wp:extent cx="2997642" cy="2411358"/>
            <wp:effectExtent l="0" t="0" r="0" b="8255"/>
            <wp:docPr id="11" name="Imagem 11" descr="C:\projetos\ED1\trunk\Imagens\50CFM\Simulação Hollowfin 25CFM 45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tos\ED1\trunk\Imagens\50CFM\Simulação Hollowfin 25CFM 45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3369" cy="2424009"/>
                    </a:xfrm>
                    <a:prstGeom prst="rect">
                      <a:avLst/>
                    </a:prstGeom>
                    <a:noFill/>
                    <a:ln>
                      <a:noFill/>
                    </a:ln>
                  </pic:spPr>
                </pic:pic>
              </a:graphicData>
            </a:graphic>
          </wp:inline>
        </w:drawing>
      </w:r>
    </w:p>
    <w:p w:rsidR="00894692" w:rsidRPr="00A926C3" w:rsidRDefault="00894692" w:rsidP="00894692">
      <w:pPr>
        <w:pStyle w:val="Legenda"/>
        <w:jc w:val="both"/>
        <w:rPr>
          <w:b w:val="0"/>
          <w:i w:val="0"/>
          <w:color w:val="000000" w:themeColor="text1"/>
        </w:rPr>
      </w:pPr>
      <w:r w:rsidRPr="00A926C3">
        <w:rPr>
          <w:b w:val="0"/>
          <w:i w:val="0"/>
          <w:color w:val="000000" w:themeColor="text1"/>
        </w:rPr>
        <w:t xml:space="preserve">Fig. </w:t>
      </w:r>
      <w:r w:rsidRPr="00A926C3">
        <w:rPr>
          <w:b w:val="0"/>
          <w:i w:val="0"/>
          <w:color w:val="000000" w:themeColor="text1"/>
        </w:rPr>
        <w:fldChar w:fldCharType="begin"/>
      </w:r>
      <w:r w:rsidRPr="00A926C3">
        <w:rPr>
          <w:b w:val="0"/>
          <w:i w:val="0"/>
          <w:color w:val="000000" w:themeColor="text1"/>
        </w:rPr>
        <w:instrText xml:space="preserve"> SEQ Fig. \* ARABIC </w:instrText>
      </w:r>
      <w:r w:rsidRPr="00A926C3">
        <w:rPr>
          <w:b w:val="0"/>
          <w:i w:val="0"/>
          <w:color w:val="000000" w:themeColor="text1"/>
        </w:rPr>
        <w:fldChar w:fldCharType="separate"/>
      </w:r>
      <w:r w:rsidR="00A96DD5">
        <w:rPr>
          <w:b w:val="0"/>
          <w:i w:val="0"/>
          <w:noProof/>
          <w:color w:val="000000" w:themeColor="text1"/>
        </w:rPr>
        <w:t>13</w:t>
      </w:r>
      <w:r w:rsidRPr="00A926C3">
        <w:rPr>
          <w:b w:val="0"/>
          <w:i w:val="0"/>
          <w:color w:val="000000" w:themeColor="text1"/>
        </w:rPr>
        <w:fldChar w:fldCharType="end"/>
      </w:r>
      <w:r>
        <w:rPr>
          <w:b w:val="0"/>
          <w:i w:val="0"/>
          <w:color w:val="000000" w:themeColor="text1"/>
        </w:rPr>
        <w:t>.</w:t>
      </w:r>
      <w:r w:rsidRPr="00894692">
        <w:rPr>
          <w:b w:val="0"/>
          <w:i w:val="0"/>
          <w:color w:val="000000" w:themeColor="text1"/>
        </w:rPr>
        <w:t xml:space="preserve"> Imagem térmica da simulação utilizando dissipador</w:t>
      </w:r>
      <w:r w:rsidRPr="00894692">
        <w:rPr>
          <w:i w:val="0"/>
        </w:rPr>
        <w:t xml:space="preserve"> </w:t>
      </w:r>
      <w:proofErr w:type="spellStart"/>
      <w:r>
        <w:rPr>
          <w:b w:val="0"/>
          <w:color w:val="000000" w:themeColor="text1"/>
        </w:rPr>
        <w:t>Hollowfin</w:t>
      </w:r>
      <w:proofErr w:type="spellEnd"/>
      <w:r>
        <w:rPr>
          <w:b w:val="0"/>
          <w:color w:val="000000" w:themeColor="text1"/>
        </w:rPr>
        <w:t>®.</w:t>
      </w:r>
    </w:p>
    <w:p w:rsidR="00894692" w:rsidRDefault="00894692" w:rsidP="00894692">
      <w:pPr>
        <w:pStyle w:val="TextBody"/>
      </w:pPr>
    </w:p>
    <w:p w:rsidR="00894692" w:rsidRPr="00387AC1" w:rsidRDefault="00894692" w:rsidP="00894692">
      <w:pPr>
        <w:pStyle w:val="Ttulo1"/>
        <w:tabs>
          <w:tab w:val="clear" w:pos="432"/>
          <w:tab w:val="num" w:pos="0"/>
        </w:tabs>
        <w:ind w:left="0" w:firstLine="0"/>
        <w:jc w:val="center"/>
        <w:rPr>
          <w:b w:val="0"/>
          <w:bCs/>
          <w:sz w:val="20"/>
        </w:rPr>
      </w:pPr>
      <w:r>
        <w:rPr>
          <w:b w:val="0"/>
          <w:bCs/>
          <w:sz w:val="20"/>
        </w:rPr>
        <w:t xml:space="preserve">IV. </w:t>
      </w:r>
      <w:r w:rsidR="00453261">
        <w:rPr>
          <w:b w:val="0"/>
          <w:bCs/>
          <w:sz w:val="20"/>
        </w:rPr>
        <w:t>CONCLUSÕES</w:t>
      </w:r>
    </w:p>
    <w:p w:rsidR="00894692" w:rsidRDefault="00894692" w:rsidP="00894692">
      <w:pPr>
        <w:pStyle w:val="Figura"/>
        <w:keepNext/>
        <w:tabs>
          <w:tab w:val="left" w:pos="210"/>
          <w:tab w:val="left" w:pos="278"/>
        </w:tabs>
        <w:spacing w:before="0"/>
        <w:ind w:firstLine="227"/>
        <w:jc w:val="both"/>
      </w:pPr>
    </w:p>
    <w:p w:rsidR="004177D4" w:rsidRDefault="00894692" w:rsidP="00894692">
      <w:pPr>
        <w:pStyle w:val="TextBody"/>
      </w:pPr>
      <w:r>
        <w:t xml:space="preserve">Este artigo apresentou uma breve revisão sobre </w:t>
      </w:r>
      <w:r w:rsidR="004177D4">
        <w:t xml:space="preserve">conversor matricial e o cálculo de </w:t>
      </w:r>
      <w:r>
        <w:t>perdas em semicondutores aplicados ao conversor matricial direto</w:t>
      </w:r>
      <w:r w:rsidR="004177D4">
        <w:t>.</w:t>
      </w:r>
    </w:p>
    <w:p w:rsidR="00894692" w:rsidRDefault="00894692" w:rsidP="00894692">
      <w:pPr>
        <w:pStyle w:val="TextBody"/>
      </w:pPr>
      <w:r>
        <w:t>Com base nos resultados de simulação encontrados, considerando uma margem de operação de 30°C para a temperatura máxima de junção do semicondutor, e analisando a Tabela I</w:t>
      </w:r>
      <w:r w:rsidR="007B4CC3">
        <w:t>V</w:t>
      </w:r>
      <w:r>
        <w:t>, pode</w:t>
      </w:r>
      <w:r w:rsidR="004177D4">
        <w:t>-se</w:t>
      </w:r>
      <w:r>
        <w:t xml:space="preserve"> concluir que o conversor em estudo poderá operar com frequência de chaveamento de 30kHz e 17A, 20kHz e 21A ou 10kHz e 31A, utilizando o dissipador </w:t>
      </w:r>
      <w:proofErr w:type="spellStart"/>
      <w:r>
        <w:t>extrudado</w:t>
      </w:r>
      <w:proofErr w:type="spellEnd"/>
      <w:r>
        <w:t xml:space="preserve"> 60815 sem apresentar falhas por </w:t>
      </w:r>
      <w:proofErr w:type="spellStart"/>
      <w:r>
        <w:t>sobretemperatura</w:t>
      </w:r>
      <w:proofErr w:type="spellEnd"/>
      <w:r>
        <w:t xml:space="preserve"> ou trabalhar com 30kHz e 31A utilizando dissipador com tecnologia </w:t>
      </w:r>
      <w:proofErr w:type="spellStart"/>
      <w:r w:rsidRPr="002A28BD">
        <w:rPr>
          <w:i/>
        </w:rPr>
        <w:t>Hollowfin</w:t>
      </w:r>
      <w:proofErr w:type="spellEnd"/>
      <w:r w:rsidRPr="002A28BD">
        <w:rPr>
          <w:i/>
        </w:rPr>
        <w:t>®</w:t>
      </w:r>
      <w:r>
        <w:t>.</w:t>
      </w:r>
    </w:p>
    <w:p w:rsidR="006D47C0" w:rsidRDefault="00894692" w:rsidP="00453261">
      <w:pPr>
        <w:pStyle w:val="TextBody"/>
      </w:pPr>
      <w:r>
        <w:t xml:space="preserve">Devido a elevada eficiência do dissipador </w:t>
      </w:r>
      <w:proofErr w:type="spellStart"/>
      <w:r w:rsidRPr="002A28BD">
        <w:rPr>
          <w:i/>
        </w:rPr>
        <w:t>Hollowfin</w:t>
      </w:r>
      <w:proofErr w:type="spellEnd"/>
      <w:r w:rsidRPr="002A28BD">
        <w:rPr>
          <w:i/>
        </w:rPr>
        <w:t>®</w:t>
      </w:r>
      <w:r>
        <w:rPr>
          <w:i/>
        </w:rPr>
        <w:t xml:space="preserve"> </w:t>
      </w:r>
      <w:r>
        <w:t>verificou-se que seria possível reduzir o número de ventiladores no dissipador e manter o semicondutor em uma temperatura adequada de operação.</w:t>
      </w:r>
    </w:p>
    <w:p w:rsidR="003B26F9" w:rsidRPr="00387AC1" w:rsidRDefault="003B26F9">
      <w:pPr>
        <w:pStyle w:val="TextBody"/>
      </w:pPr>
    </w:p>
    <w:p w:rsidR="006D47C0" w:rsidRDefault="006D47C0" w:rsidP="003B26F9">
      <w:pPr>
        <w:pStyle w:val="TitleNoNumber"/>
        <w:spacing w:before="0" w:after="0"/>
      </w:pPr>
      <w:r w:rsidRPr="00387AC1">
        <w:t>REFERÊNCIAS</w:t>
      </w:r>
    </w:p>
    <w:p w:rsidR="003B26F9" w:rsidRPr="00387AC1" w:rsidRDefault="003B26F9" w:rsidP="003B26F9">
      <w:pPr>
        <w:pStyle w:val="TitleNoNumber"/>
        <w:spacing w:before="0" w:after="0"/>
      </w:pPr>
    </w:p>
    <w:p w:rsidR="00EA31FA" w:rsidRPr="00A926C3" w:rsidRDefault="00292303" w:rsidP="00EA31FA">
      <w:pPr>
        <w:pStyle w:val="ReferencesBody"/>
        <w:numPr>
          <w:ilvl w:val="0"/>
          <w:numId w:val="0"/>
        </w:numPr>
        <w:ind w:left="426" w:hanging="426"/>
        <w:rPr>
          <w:lang w:val="en-US"/>
        </w:rPr>
      </w:pPr>
      <w:r w:rsidRPr="00083CF7">
        <w:rPr>
          <w:lang w:val="en-US"/>
        </w:rPr>
        <w:t>[1]</w:t>
      </w:r>
      <w:r w:rsidRPr="00083CF7">
        <w:rPr>
          <w:lang w:val="en-US"/>
        </w:rPr>
        <w:tab/>
        <w:t xml:space="preserve">WHEELER, P. W., et al. </w:t>
      </w:r>
      <w:r w:rsidRPr="00292303">
        <w:rPr>
          <w:lang w:val="en-US"/>
        </w:rPr>
        <w:t xml:space="preserve">“Matrix converters: a technology review”, </w:t>
      </w:r>
      <w:r w:rsidRPr="00A22323">
        <w:rPr>
          <w:i/>
          <w:lang w:val="en-US"/>
        </w:rPr>
        <w:t>Industrial Electronics, IEEE Transactions on, v. 49, n. 2, p. 276-288</w:t>
      </w:r>
      <w:r w:rsidRPr="00292303">
        <w:rPr>
          <w:lang w:val="en-US"/>
        </w:rPr>
        <w:t>, 2002.</w:t>
      </w:r>
      <w:r w:rsidR="00EA31FA" w:rsidRPr="007F4AF8">
        <w:rPr>
          <w:lang w:val="en-US"/>
        </w:rPr>
        <w:t xml:space="preserve"> </w:t>
      </w:r>
    </w:p>
    <w:p w:rsidR="00EA31FA" w:rsidRPr="00EA31FA" w:rsidRDefault="00EA31FA" w:rsidP="00EA31FA">
      <w:pPr>
        <w:pStyle w:val="ReferencesBody"/>
        <w:numPr>
          <w:ilvl w:val="0"/>
          <w:numId w:val="0"/>
        </w:numPr>
        <w:ind w:left="426" w:hanging="426"/>
      </w:pPr>
      <w:r w:rsidRPr="007F4AF8">
        <w:lastRenderedPageBreak/>
        <w:t>[</w:t>
      </w:r>
      <w:proofErr w:type="gramStart"/>
      <w:r w:rsidRPr="007F4AF8">
        <w:t>2]</w:t>
      </w:r>
      <w:r w:rsidRPr="007F4AF8">
        <w:tab/>
      </w:r>
      <w:proofErr w:type="spellStart"/>
      <w:proofErr w:type="gramEnd"/>
      <w:r w:rsidRPr="007F4AF8">
        <w:t>Gilli</w:t>
      </w:r>
      <w:proofErr w:type="spellEnd"/>
      <w:r w:rsidRPr="007F4AF8">
        <w:t>, C, "Conversor Matricial Direto para Acionamento de Motor de Induç</w:t>
      </w:r>
      <w:r>
        <w:t>ão Trifásico</w:t>
      </w:r>
      <w:r w:rsidRPr="007F4AF8">
        <w:t>"</w:t>
      </w:r>
      <w:r w:rsidR="000E08E6">
        <w:t xml:space="preserve"> em</w:t>
      </w:r>
      <w:r w:rsidRPr="007F4AF8">
        <w:t xml:space="preserve"> </w:t>
      </w:r>
      <w:r w:rsidRPr="000E08E6">
        <w:t>Dissertação de Mestrado, Universidade Regional de Blumenau – FURB</w:t>
      </w:r>
      <w:r w:rsidRPr="007F4AF8">
        <w:t>, 20</w:t>
      </w:r>
      <w:r>
        <w:t>12</w:t>
      </w:r>
      <w:r w:rsidRPr="007F4AF8">
        <w:t>.</w:t>
      </w:r>
    </w:p>
    <w:p w:rsidR="00EA31FA" w:rsidRPr="000E08E6" w:rsidRDefault="00EA31FA" w:rsidP="00EA31FA">
      <w:pPr>
        <w:pStyle w:val="ReferencesBody"/>
        <w:numPr>
          <w:ilvl w:val="0"/>
          <w:numId w:val="0"/>
        </w:numPr>
        <w:ind w:left="426" w:hanging="426"/>
        <w:rPr>
          <w:lang w:val="en-US"/>
        </w:rPr>
      </w:pPr>
      <w:r w:rsidRPr="000E08E6">
        <w:rPr>
          <w:lang w:val="en-US"/>
        </w:rPr>
        <w:t>[3]</w:t>
      </w:r>
      <w:r w:rsidRPr="000E08E6">
        <w:rPr>
          <w:lang w:val="en-US"/>
        </w:rPr>
        <w:tab/>
      </w:r>
      <w:proofErr w:type="spellStart"/>
      <w:r w:rsidR="000E08E6" w:rsidRPr="000E08E6">
        <w:rPr>
          <w:lang w:val="en-US"/>
        </w:rPr>
        <w:t>Jussila</w:t>
      </w:r>
      <w:proofErr w:type="spellEnd"/>
      <w:r w:rsidR="000E08E6" w:rsidRPr="000E08E6">
        <w:rPr>
          <w:lang w:val="en-US"/>
        </w:rPr>
        <w:t xml:space="preserve">, M.; </w:t>
      </w:r>
      <w:proofErr w:type="spellStart"/>
      <w:r w:rsidR="000E08E6" w:rsidRPr="000E08E6">
        <w:rPr>
          <w:lang w:val="en-US"/>
        </w:rPr>
        <w:t>Tuusa</w:t>
      </w:r>
      <w:proofErr w:type="spellEnd"/>
      <w:r w:rsidR="000E08E6" w:rsidRPr="000E08E6">
        <w:rPr>
          <w:lang w:val="en-US"/>
        </w:rPr>
        <w:t xml:space="preserve">, H., "Comparison of Direct and Indirect Matrix Converters in Induction Motor Drive," </w:t>
      </w:r>
      <w:proofErr w:type="spellStart"/>
      <w:r w:rsidR="000E08E6">
        <w:rPr>
          <w:lang w:val="en-US"/>
        </w:rPr>
        <w:t>em</w:t>
      </w:r>
      <w:proofErr w:type="spellEnd"/>
      <w:r w:rsidR="000E08E6" w:rsidRPr="000E08E6">
        <w:rPr>
          <w:lang w:val="en-US"/>
        </w:rPr>
        <w:t xml:space="preserve"> </w:t>
      </w:r>
      <w:r w:rsidR="000E08E6" w:rsidRPr="000E08E6">
        <w:rPr>
          <w:i/>
          <w:iCs/>
          <w:lang w:val="en-US"/>
        </w:rPr>
        <w:t>IEEE Industrial Electronics, IECON 2006 - 32nd Annual Conference on</w:t>
      </w:r>
      <w:r w:rsidR="000E08E6" w:rsidRPr="000E08E6">
        <w:rPr>
          <w:lang w:val="en-US"/>
        </w:rPr>
        <w:t xml:space="preserve"> , vol., no., pp.1621-1626, 6-10 Nov. 2006</w:t>
      </w:r>
      <w:r w:rsidRPr="000E08E6">
        <w:rPr>
          <w:lang w:val="en-US"/>
        </w:rPr>
        <w:t>.</w:t>
      </w:r>
    </w:p>
    <w:p w:rsidR="007F4AF8" w:rsidRDefault="007F4AF8" w:rsidP="00EA31FA">
      <w:pPr>
        <w:pStyle w:val="ReferencesBody"/>
        <w:numPr>
          <w:ilvl w:val="0"/>
          <w:numId w:val="0"/>
        </w:numPr>
        <w:ind w:left="426" w:hanging="426"/>
        <w:rPr>
          <w:lang w:val="en-US"/>
        </w:rPr>
      </w:pPr>
      <w:r w:rsidRPr="000E08E6">
        <w:rPr>
          <w:lang w:val="en-US"/>
        </w:rPr>
        <w:t>[</w:t>
      </w:r>
      <w:r w:rsidR="00EA31FA" w:rsidRPr="000E08E6">
        <w:rPr>
          <w:lang w:val="en-US"/>
        </w:rPr>
        <w:t>4</w:t>
      </w:r>
      <w:r w:rsidRPr="000E08E6">
        <w:rPr>
          <w:lang w:val="en-US"/>
        </w:rPr>
        <w:t>]</w:t>
      </w:r>
      <w:r w:rsidRPr="000E08E6">
        <w:rPr>
          <w:lang w:val="en-US"/>
        </w:rPr>
        <w:tab/>
        <w:t xml:space="preserve">Wang, B.; </w:t>
      </w:r>
      <w:proofErr w:type="spellStart"/>
      <w:r w:rsidRPr="000E08E6">
        <w:rPr>
          <w:lang w:val="en-US"/>
        </w:rPr>
        <w:t>Venkataramanan</w:t>
      </w:r>
      <w:proofErr w:type="spellEnd"/>
      <w:r w:rsidRPr="000E08E6">
        <w:rPr>
          <w:lang w:val="en-US"/>
        </w:rPr>
        <w:t xml:space="preserve">, G., "Analytical Modeling of Semiconductor Losses in Matrix Converters," </w:t>
      </w:r>
      <w:proofErr w:type="spellStart"/>
      <w:r w:rsidR="000E08E6" w:rsidRPr="000E08E6">
        <w:rPr>
          <w:lang w:val="en-US"/>
        </w:rPr>
        <w:t>em</w:t>
      </w:r>
      <w:proofErr w:type="spellEnd"/>
      <w:r w:rsidR="000E08E6" w:rsidRPr="000E08E6">
        <w:rPr>
          <w:lang w:val="en-US"/>
        </w:rPr>
        <w:t xml:space="preserve"> </w:t>
      </w:r>
      <w:r w:rsidRPr="000E08E6">
        <w:rPr>
          <w:i/>
          <w:lang w:val="en-US"/>
        </w:rPr>
        <w:t>Power Electronics and Motion Control Conference</w:t>
      </w:r>
      <w:r w:rsidRPr="000E08E6">
        <w:rPr>
          <w:lang w:val="en-US"/>
        </w:rPr>
        <w:t xml:space="preserve">, 2006. </w:t>
      </w:r>
      <w:r w:rsidRPr="001D4D30">
        <w:rPr>
          <w:lang w:val="en-US"/>
        </w:rPr>
        <w:t>IPEMC 2006</w:t>
      </w:r>
      <w:r>
        <w:rPr>
          <w:lang w:val="en-US"/>
        </w:rPr>
        <w:t>.</w:t>
      </w:r>
    </w:p>
    <w:p w:rsidR="00400999" w:rsidRPr="00850EE4" w:rsidRDefault="007F6D29" w:rsidP="007F4AF8">
      <w:pPr>
        <w:pStyle w:val="ReferencesBody"/>
        <w:numPr>
          <w:ilvl w:val="0"/>
          <w:numId w:val="0"/>
        </w:numPr>
        <w:ind w:left="426" w:hanging="426"/>
        <w:rPr>
          <w:lang w:val="en-US"/>
        </w:rPr>
      </w:pPr>
      <w:r w:rsidRPr="001D4D30">
        <w:rPr>
          <w:lang w:val="en-US"/>
        </w:rPr>
        <w:t>[</w:t>
      </w:r>
      <w:r w:rsidR="00EA31FA">
        <w:rPr>
          <w:lang w:val="en-US"/>
        </w:rPr>
        <w:t>5</w:t>
      </w:r>
      <w:r w:rsidRPr="001D4D30">
        <w:rPr>
          <w:lang w:val="en-US"/>
        </w:rPr>
        <w:t>]</w:t>
      </w:r>
      <w:r w:rsidR="001D4D30">
        <w:rPr>
          <w:lang w:val="en-US"/>
        </w:rPr>
        <w:tab/>
      </w:r>
      <w:proofErr w:type="spellStart"/>
      <w:r w:rsidR="001D4D30" w:rsidRPr="001D4D30">
        <w:rPr>
          <w:lang w:val="en-US"/>
        </w:rPr>
        <w:t>Burány</w:t>
      </w:r>
      <w:proofErr w:type="spellEnd"/>
      <w:r w:rsidR="001D4D30" w:rsidRPr="001D4D30">
        <w:rPr>
          <w:lang w:val="en-US"/>
        </w:rPr>
        <w:t>, N., “Safe Contr</w:t>
      </w:r>
      <w:r w:rsidR="000E08E6">
        <w:rPr>
          <w:lang w:val="en-US"/>
        </w:rPr>
        <w:t xml:space="preserve">ol of Four-Quadrant </w:t>
      </w:r>
      <w:proofErr w:type="spellStart"/>
      <w:r w:rsidR="000E08E6">
        <w:rPr>
          <w:lang w:val="en-US"/>
        </w:rPr>
        <w:t>Swtiches</w:t>
      </w:r>
      <w:proofErr w:type="spellEnd"/>
      <w:r w:rsidR="000E08E6">
        <w:rPr>
          <w:lang w:val="en-US"/>
        </w:rPr>
        <w:t xml:space="preserve">” </w:t>
      </w:r>
      <w:proofErr w:type="spellStart"/>
      <w:r w:rsidR="000E08E6">
        <w:rPr>
          <w:lang w:val="en-US"/>
        </w:rPr>
        <w:t>em</w:t>
      </w:r>
      <w:proofErr w:type="spellEnd"/>
      <w:r w:rsidR="001D4D30" w:rsidRPr="001D4D30">
        <w:rPr>
          <w:lang w:val="en-US"/>
        </w:rPr>
        <w:t xml:space="preserve"> </w:t>
      </w:r>
      <w:r w:rsidR="001D4D30" w:rsidRPr="00A22323">
        <w:rPr>
          <w:i/>
          <w:lang w:val="en-US"/>
        </w:rPr>
        <w:t>Institute for Power and Electronic Engineering</w:t>
      </w:r>
      <w:r w:rsidR="001D4D30" w:rsidRPr="001D4D30">
        <w:rPr>
          <w:lang w:val="en-US"/>
        </w:rPr>
        <w:t>, 1989</w:t>
      </w:r>
      <w:r w:rsidR="00A20FFE" w:rsidRPr="001D4D30">
        <w:rPr>
          <w:lang w:val="en-US"/>
        </w:rPr>
        <w:t>.</w:t>
      </w:r>
    </w:p>
    <w:p w:rsidR="00A20FFE" w:rsidRPr="00850EE4" w:rsidRDefault="00A20FFE" w:rsidP="00A20FFE">
      <w:pPr>
        <w:pStyle w:val="ReferencesBody"/>
        <w:numPr>
          <w:ilvl w:val="0"/>
          <w:numId w:val="0"/>
        </w:numPr>
        <w:ind w:left="284" w:hanging="284"/>
        <w:rPr>
          <w:lang w:val="en-US"/>
        </w:rPr>
      </w:pPr>
    </w:p>
    <w:p w:rsidR="006D47C0" w:rsidRPr="00387AC1" w:rsidRDefault="006D47C0">
      <w:pPr>
        <w:pStyle w:val="TitleNoNumber"/>
        <w:spacing w:before="0" w:after="0"/>
        <w:ind w:left="-284"/>
      </w:pPr>
      <w:r w:rsidRPr="00387AC1">
        <w:t>DADOS BIOGRÁFICOS</w:t>
      </w:r>
    </w:p>
    <w:p w:rsidR="00850EE4" w:rsidRPr="00387AC1" w:rsidRDefault="00850EE4" w:rsidP="00850EE4">
      <w:pPr>
        <w:pStyle w:val="TitleNoNumber"/>
        <w:spacing w:before="0" w:after="0"/>
        <w:ind w:left="-284"/>
      </w:pPr>
    </w:p>
    <w:p w:rsidR="00850EE4" w:rsidRPr="00387AC1" w:rsidRDefault="00850EE4" w:rsidP="00850EE4">
      <w:pPr>
        <w:pStyle w:val="BioBody"/>
      </w:pPr>
      <w:r>
        <w:rPr>
          <w:b/>
          <w:u w:val="single"/>
        </w:rPr>
        <w:t>Fábio Cadore Posser</w:t>
      </w:r>
      <w:r>
        <w:t xml:space="preserve">, nascido em </w:t>
      </w:r>
      <w:r w:rsidRPr="00387AC1">
        <w:t>19</w:t>
      </w:r>
      <w:r>
        <w:t>89</w:t>
      </w:r>
      <w:r w:rsidRPr="00387AC1">
        <w:t xml:space="preserve"> em </w:t>
      </w:r>
      <w:r>
        <w:t>Alegrete, RS, recebeu o título de engenheiro eletricista da Universidade Federal de Santa Maria (UFSM) em 2012</w:t>
      </w:r>
      <w:r w:rsidRPr="00387AC1">
        <w:t xml:space="preserve"> e </w:t>
      </w:r>
      <w:r>
        <w:t>cursa o mestrado acadêmico na Universidade Estadual de Santa Catarina – UDESC.</w:t>
      </w:r>
    </w:p>
    <w:p w:rsidR="00850EE4" w:rsidRDefault="00850EE4" w:rsidP="00850EE4">
      <w:pPr>
        <w:pStyle w:val="TextBody"/>
      </w:pPr>
      <w:r>
        <w:t xml:space="preserve">Atualmente trabalha no setor de pesquisa e desenvolvimento da </w:t>
      </w:r>
      <w:r w:rsidRPr="00195FEF">
        <w:rPr>
          <w:i/>
        </w:rPr>
        <w:t xml:space="preserve">WEG Drives </w:t>
      </w:r>
      <w:r w:rsidR="00195FEF" w:rsidRPr="00195FEF">
        <w:rPr>
          <w:i/>
        </w:rPr>
        <w:t>&amp;</w:t>
      </w:r>
      <w:r w:rsidRPr="00195FEF">
        <w:rPr>
          <w:i/>
        </w:rPr>
        <w:t xml:space="preserve"> </w:t>
      </w:r>
      <w:proofErr w:type="spellStart"/>
      <w:r w:rsidRPr="00195FEF">
        <w:rPr>
          <w:i/>
        </w:rPr>
        <w:t>Controls</w:t>
      </w:r>
      <w:proofErr w:type="spellEnd"/>
      <w:r>
        <w:t>, na área de inversores de baixa tensão de uso geral.</w:t>
      </w:r>
      <w:r w:rsidRPr="00387AC1">
        <w:t xml:space="preserve"> Suas áreas de interesse são: </w:t>
      </w:r>
      <w:r w:rsidRPr="00850EE4">
        <w:t>conversores CA-CA e CC-CC de potência</w:t>
      </w:r>
      <w:r>
        <w:t xml:space="preserve"> e</w:t>
      </w:r>
      <w:r w:rsidRPr="00850EE4">
        <w:t xml:space="preserve"> acionamentos elétricos à velocidade variável</w:t>
      </w:r>
      <w:r>
        <w:t>.</w:t>
      </w:r>
    </w:p>
    <w:p w:rsidR="00850EE4" w:rsidRDefault="00850EE4" w:rsidP="00850EE4">
      <w:pPr>
        <w:pStyle w:val="TextBody"/>
      </w:pPr>
    </w:p>
    <w:p w:rsidR="00850EE4" w:rsidRDefault="00850EE4" w:rsidP="00850EE4">
      <w:pPr>
        <w:pStyle w:val="TextBody"/>
        <w:ind w:firstLine="0"/>
      </w:pPr>
      <w:r>
        <w:rPr>
          <w:b/>
          <w:u w:val="single"/>
        </w:rPr>
        <w:t>Sérgio Vidal Garcia de Oliveira</w:t>
      </w:r>
      <w:r>
        <w:t>, n</w:t>
      </w:r>
      <w:r w:rsidRPr="00850EE4">
        <w:t xml:space="preserve">ascido em </w:t>
      </w:r>
      <w:r>
        <w:t>1974 em Lages, SC</w:t>
      </w:r>
      <w:r w:rsidRPr="00850EE4">
        <w:t xml:space="preserve">. Recebeu o título de engenheiro eletricista da Universidade Regional de Blumenau (FURB) em 1999, e os de Mestre e de Doutor em engenharia elétrica da Universidade Federal de Santa Catarina, Florianópolis, Brasil, em 2001 e 2006, respectivamente. </w:t>
      </w:r>
    </w:p>
    <w:p w:rsidR="00850EE4" w:rsidRDefault="00850EE4" w:rsidP="00850EE4">
      <w:pPr>
        <w:pStyle w:val="TextBody"/>
      </w:pPr>
      <w:r>
        <w:t xml:space="preserve">Atualmente </w:t>
      </w:r>
      <w:r w:rsidRPr="00850EE4">
        <w:t>é professor da Universidade do Estado de Santa Catarina (UDESC-Joinville) em tempo integral e em tempo parcial na Universidade Regional de Blumenau - FURB</w:t>
      </w:r>
      <w:r>
        <w:t xml:space="preserve">. Suas áreas de interessa são: </w:t>
      </w:r>
      <w:r w:rsidRPr="00850EE4">
        <w:t xml:space="preserve">conversores CA-CA e CC-CC de potência, acionamentos elétricos à velocidade variável, sistemas de geração distribuída de energia, qualidade e eficiência energética de sistemas </w:t>
      </w:r>
      <w:proofErr w:type="spellStart"/>
      <w:r w:rsidRPr="00850EE4">
        <w:t>eletroeletrôncios</w:t>
      </w:r>
      <w:proofErr w:type="spellEnd"/>
      <w:r w:rsidRPr="00850EE4">
        <w:t>, conversores estáticos aplicados nos sistemas eletrônicos de carros híbridos e sistemas embarcados.</w:t>
      </w:r>
    </w:p>
    <w:p w:rsidR="00850EE4" w:rsidRDefault="00850EE4" w:rsidP="00850EE4">
      <w:pPr>
        <w:pStyle w:val="TextBody"/>
      </w:pPr>
      <w:r w:rsidRPr="00850EE4">
        <w:t xml:space="preserve">É membro da Associação Brasileira de Eletrônica de Potência (SOBRAEP), da Sociedade Brasileira de Automática (SBA), da Power </w:t>
      </w:r>
      <w:proofErr w:type="spellStart"/>
      <w:r w:rsidRPr="00850EE4">
        <w:t>Electronics</w:t>
      </w:r>
      <w:proofErr w:type="spellEnd"/>
      <w:r w:rsidRPr="00850EE4">
        <w:t xml:space="preserve"> </w:t>
      </w:r>
      <w:proofErr w:type="spellStart"/>
      <w:r w:rsidRPr="00850EE4">
        <w:t>Society</w:t>
      </w:r>
      <w:proofErr w:type="spellEnd"/>
      <w:r w:rsidRPr="00850EE4">
        <w:t xml:space="preserve"> (PELS), da Industrial </w:t>
      </w:r>
      <w:proofErr w:type="spellStart"/>
      <w:r w:rsidRPr="00850EE4">
        <w:t>Electronics</w:t>
      </w:r>
      <w:proofErr w:type="spellEnd"/>
      <w:r w:rsidRPr="00850EE4">
        <w:t xml:space="preserve"> </w:t>
      </w:r>
      <w:proofErr w:type="spellStart"/>
      <w:r w:rsidRPr="00850EE4">
        <w:t>Society</w:t>
      </w:r>
      <w:proofErr w:type="spellEnd"/>
      <w:r w:rsidRPr="00850EE4">
        <w:t xml:space="preserve"> (IES), da </w:t>
      </w:r>
      <w:proofErr w:type="spellStart"/>
      <w:r w:rsidRPr="00850EE4">
        <w:t>Industry</w:t>
      </w:r>
      <w:proofErr w:type="spellEnd"/>
      <w:r w:rsidRPr="00850EE4">
        <w:t xml:space="preserve"> </w:t>
      </w:r>
      <w:proofErr w:type="spellStart"/>
      <w:r w:rsidRPr="00850EE4">
        <w:t>Applications</w:t>
      </w:r>
      <w:proofErr w:type="spellEnd"/>
      <w:r w:rsidRPr="00850EE4">
        <w:t xml:space="preserve"> </w:t>
      </w:r>
      <w:proofErr w:type="spellStart"/>
      <w:r w:rsidRPr="00850EE4">
        <w:t>Society</w:t>
      </w:r>
      <w:proofErr w:type="spellEnd"/>
      <w:r w:rsidRPr="00850EE4">
        <w:t xml:space="preserve"> (IAS) e da </w:t>
      </w:r>
      <w:proofErr w:type="spellStart"/>
      <w:r w:rsidRPr="00850EE4">
        <w:t>Vehicular</w:t>
      </w:r>
      <w:proofErr w:type="spellEnd"/>
      <w:r w:rsidRPr="00850EE4">
        <w:t xml:space="preserve"> Technology </w:t>
      </w:r>
      <w:proofErr w:type="spellStart"/>
      <w:r w:rsidRPr="00850EE4">
        <w:t>Society</w:t>
      </w:r>
      <w:proofErr w:type="spellEnd"/>
      <w:r w:rsidRPr="00850EE4">
        <w:t xml:space="preserve"> (VTS)</w:t>
      </w:r>
      <w:r>
        <w:t>.</w:t>
      </w:r>
    </w:p>
    <w:p w:rsidR="00850EE4" w:rsidRDefault="00850EE4" w:rsidP="00850EE4">
      <w:pPr>
        <w:pStyle w:val="TextBody"/>
        <w:sectPr w:rsidR="00850EE4" w:rsidSect="00A30ECC">
          <w:type w:val="continuous"/>
          <w:pgSz w:w="11905" w:h="16837"/>
          <w:pgMar w:top="1418" w:right="680" w:bottom="1418" w:left="1021" w:header="720" w:footer="709" w:gutter="0"/>
          <w:pgNumType w:fmt="lowerRoman"/>
          <w:cols w:num="2" w:space="340"/>
          <w:docGrid w:linePitch="360"/>
        </w:sectPr>
      </w:pPr>
    </w:p>
    <w:p w:rsidR="00A30ECC" w:rsidRPr="00A30ECC" w:rsidRDefault="00A30ECC" w:rsidP="00A30ECC">
      <w:pPr>
        <w:pStyle w:val="TextBody"/>
        <w:rPr>
          <w:sz w:val="12"/>
        </w:rPr>
      </w:pPr>
    </w:p>
    <w:sectPr w:rsidR="00A30ECC" w:rsidRPr="00A30ECC" w:rsidSect="00A30ECC">
      <w:type w:val="continuous"/>
      <w:pgSz w:w="11905" w:h="16837"/>
      <w:pgMar w:top="1418" w:right="680" w:bottom="1418" w:left="1021" w:header="720" w:footer="709" w:gutter="0"/>
      <w:pgNumType w:fmt="lowerRoman"/>
      <w:cols w:num="2" w:space="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FC0" w:rsidRDefault="004F4FC0">
      <w:r>
        <w:separator/>
      </w:r>
    </w:p>
  </w:endnote>
  <w:endnote w:type="continuationSeparator" w:id="0">
    <w:p w:rsidR="004F4FC0" w:rsidRDefault="004F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FCC" w:rsidRDefault="00186FC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FCC" w:rsidRDefault="00186FC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6FCC" w:rsidRDefault="00186F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FC0" w:rsidRDefault="004F4FC0">
      <w:r>
        <w:separator/>
      </w:r>
    </w:p>
  </w:footnote>
  <w:footnote w:type="continuationSeparator" w:id="0">
    <w:p w:rsidR="004F4FC0" w:rsidRDefault="004F4FC0">
      <w:r>
        <w:continuationSeparator/>
      </w:r>
    </w:p>
  </w:footnote>
  <w:footnote w:id="1">
    <w:p w:rsidR="00186FCC" w:rsidRDefault="00186FCC">
      <w:pPr>
        <w:pStyle w:val="Textodenotaderodap"/>
      </w:pPr>
      <w:r w:rsidRPr="00A3700A">
        <w:rPr>
          <w:rStyle w:val="Refdenotaderodap"/>
        </w:rPr>
        <w:sym w:font="Symbol" w:char="F020"/>
      </w:r>
      <w:r>
        <w:t>Nota de rodapé na página inicial será utilizada apenas pelo editor para indicar o andamento do processo de revisão. Não suprima esta nota de rodapé quando editar seu artigo.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DE4AF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pStyle w:val="Ttulo5"/>
      <w:lvlText w:val=""/>
      <w:lvlJc w:val="left"/>
      <w:pPr>
        <w:tabs>
          <w:tab w:val="num" w:pos="1008"/>
        </w:tabs>
        <w:ind w:left="1008" w:hanging="1008"/>
      </w:pPr>
    </w:lvl>
    <w:lvl w:ilvl="5">
      <w:start w:val="1"/>
      <w:numFmt w:val="none"/>
      <w:pStyle w:val="Ttulo6"/>
      <w:lvlText w:val=""/>
      <w:lvlJc w:val="left"/>
      <w:pPr>
        <w:tabs>
          <w:tab w:val="num" w:pos="1152"/>
        </w:tabs>
        <w:ind w:left="1152" w:hanging="1152"/>
      </w:pPr>
    </w:lvl>
    <w:lvl w:ilvl="6">
      <w:start w:val="1"/>
      <w:numFmt w:val="none"/>
      <w:pStyle w:val="Ttulo7"/>
      <w:lvlText w:val=""/>
      <w:lvlJc w:val="left"/>
      <w:pPr>
        <w:tabs>
          <w:tab w:val="num" w:pos="1296"/>
        </w:tabs>
        <w:ind w:left="1296" w:hanging="1296"/>
      </w:pPr>
    </w:lvl>
    <w:lvl w:ilvl="7">
      <w:start w:val="1"/>
      <w:numFmt w:val="none"/>
      <w:pStyle w:val="Ttulo8"/>
      <w:lvlText w:val=""/>
      <w:lvlJc w:val="left"/>
      <w:pPr>
        <w:tabs>
          <w:tab w:val="num" w:pos="1440"/>
        </w:tabs>
        <w:ind w:left="1440" w:hanging="1440"/>
      </w:pPr>
    </w:lvl>
    <w:lvl w:ilvl="8">
      <w:start w:val="1"/>
      <w:numFmt w:val="none"/>
      <w:pStyle w:val="Ttulo9"/>
      <w:lvlText w:val=""/>
      <w:lvlJc w:val="left"/>
      <w:pPr>
        <w:tabs>
          <w:tab w:val="num" w:pos="1584"/>
        </w:tabs>
        <w:ind w:left="1584" w:hanging="1584"/>
      </w:pPr>
    </w:lvl>
  </w:abstractNum>
  <w:abstractNum w:abstractNumId="2">
    <w:nsid w:val="00000002"/>
    <w:multiLevelType w:val="singleLevel"/>
    <w:tmpl w:val="00000002"/>
    <w:name w:val="WW8Num2"/>
    <w:lvl w:ilvl="0">
      <w:start w:val="1"/>
      <w:numFmt w:val="bullet"/>
      <w:pStyle w:val="ReferencesBody"/>
      <w:lvlText w:val=""/>
      <w:lvlJc w:val="left"/>
      <w:pPr>
        <w:tabs>
          <w:tab w:val="num" w:pos="72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947"/>
        </w:tabs>
        <w:ind w:left="947" w:hanging="360"/>
      </w:pPr>
      <w:rPr>
        <w:rFonts w:ascii="Symbol" w:hAnsi="Symbol"/>
      </w:rPr>
    </w:lvl>
  </w:abstractNum>
  <w:num w:numId="1">
    <w:abstractNumId w:val="1"/>
  </w:num>
  <w:num w:numId="2">
    <w:abstractNumId w:val="2"/>
  </w:num>
  <w:num w:numId="3">
    <w:abstractNumId w:val="3"/>
  </w:num>
  <w:num w:numId="4">
    <w:abstractNumId w:val="2"/>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B2"/>
    <w:rsid w:val="0000356C"/>
    <w:rsid w:val="0001291F"/>
    <w:rsid w:val="00062ADC"/>
    <w:rsid w:val="00063300"/>
    <w:rsid w:val="00070C92"/>
    <w:rsid w:val="00075D01"/>
    <w:rsid w:val="00083CF7"/>
    <w:rsid w:val="000A79F5"/>
    <w:rsid w:val="000C1573"/>
    <w:rsid w:val="000E08E6"/>
    <w:rsid w:val="000F6BDD"/>
    <w:rsid w:val="000F70DC"/>
    <w:rsid w:val="00122C61"/>
    <w:rsid w:val="00131879"/>
    <w:rsid w:val="00141C83"/>
    <w:rsid w:val="00161F38"/>
    <w:rsid w:val="0018342B"/>
    <w:rsid w:val="00186FCC"/>
    <w:rsid w:val="00191089"/>
    <w:rsid w:val="00195FEF"/>
    <w:rsid w:val="001B1C1A"/>
    <w:rsid w:val="001D1DDF"/>
    <w:rsid w:val="001D4D30"/>
    <w:rsid w:val="001D5EBC"/>
    <w:rsid w:val="001F1E84"/>
    <w:rsid w:val="001F6473"/>
    <w:rsid w:val="00206146"/>
    <w:rsid w:val="00237175"/>
    <w:rsid w:val="00241EAC"/>
    <w:rsid w:val="00252F5C"/>
    <w:rsid w:val="0027387A"/>
    <w:rsid w:val="00292303"/>
    <w:rsid w:val="00293CC2"/>
    <w:rsid w:val="002A4F95"/>
    <w:rsid w:val="002B6D1C"/>
    <w:rsid w:val="002E2F35"/>
    <w:rsid w:val="002F7EF6"/>
    <w:rsid w:val="00366FBE"/>
    <w:rsid w:val="00367B91"/>
    <w:rsid w:val="00387AC1"/>
    <w:rsid w:val="00394F03"/>
    <w:rsid w:val="003B26F9"/>
    <w:rsid w:val="00400999"/>
    <w:rsid w:val="004177D4"/>
    <w:rsid w:val="00453261"/>
    <w:rsid w:val="00460D8A"/>
    <w:rsid w:val="00484A83"/>
    <w:rsid w:val="00487D5E"/>
    <w:rsid w:val="004A303A"/>
    <w:rsid w:val="004E62B2"/>
    <w:rsid w:val="004F4FC0"/>
    <w:rsid w:val="00532198"/>
    <w:rsid w:val="0057410E"/>
    <w:rsid w:val="0059690D"/>
    <w:rsid w:val="005A37E9"/>
    <w:rsid w:val="005B628F"/>
    <w:rsid w:val="005D1606"/>
    <w:rsid w:val="005E45FB"/>
    <w:rsid w:val="0061293C"/>
    <w:rsid w:val="0062341B"/>
    <w:rsid w:val="006B2282"/>
    <w:rsid w:val="006D47C0"/>
    <w:rsid w:val="006E56A7"/>
    <w:rsid w:val="006F5A21"/>
    <w:rsid w:val="00740974"/>
    <w:rsid w:val="0074547B"/>
    <w:rsid w:val="00750090"/>
    <w:rsid w:val="00780DAA"/>
    <w:rsid w:val="007B0F89"/>
    <w:rsid w:val="007B39B8"/>
    <w:rsid w:val="007B4CC3"/>
    <w:rsid w:val="007B78D0"/>
    <w:rsid w:val="007D4BD6"/>
    <w:rsid w:val="007F4AF8"/>
    <w:rsid w:val="007F6D29"/>
    <w:rsid w:val="008126D0"/>
    <w:rsid w:val="00815014"/>
    <w:rsid w:val="00820A38"/>
    <w:rsid w:val="00830B36"/>
    <w:rsid w:val="00850EE4"/>
    <w:rsid w:val="00857DB7"/>
    <w:rsid w:val="008671B8"/>
    <w:rsid w:val="00894692"/>
    <w:rsid w:val="008D3CBC"/>
    <w:rsid w:val="008E6AC7"/>
    <w:rsid w:val="0096304C"/>
    <w:rsid w:val="009A05D4"/>
    <w:rsid w:val="009B6BF3"/>
    <w:rsid w:val="009C1564"/>
    <w:rsid w:val="009D67B2"/>
    <w:rsid w:val="009F62A7"/>
    <w:rsid w:val="00A20FFE"/>
    <w:rsid w:val="00A22323"/>
    <w:rsid w:val="00A30ECC"/>
    <w:rsid w:val="00A3700A"/>
    <w:rsid w:val="00A533C1"/>
    <w:rsid w:val="00A926C3"/>
    <w:rsid w:val="00A96DD5"/>
    <w:rsid w:val="00AD221A"/>
    <w:rsid w:val="00AE1CC9"/>
    <w:rsid w:val="00AE580F"/>
    <w:rsid w:val="00AE7151"/>
    <w:rsid w:val="00AF3AE6"/>
    <w:rsid w:val="00AF7A33"/>
    <w:rsid w:val="00B04EAA"/>
    <w:rsid w:val="00B11303"/>
    <w:rsid w:val="00B72E0A"/>
    <w:rsid w:val="00BE2AF4"/>
    <w:rsid w:val="00C0007E"/>
    <w:rsid w:val="00C22F1E"/>
    <w:rsid w:val="00C37268"/>
    <w:rsid w:val="00C50297"/>
    <w:rsid w:val="00C50318"/>
    <w:rsid w:val="00C75CEC"/>
    <w:rsid w:val="00C779B6"/>
    <w:rsid w:val="00C87D70"/>
    <w:rsid w:val="00C950D2"/>
    <w:rsid w:val="00CB163E"/>
    <w:rsid w:val="00CB440C"/>
    <w:rsid w:val="00CC3E57"/>
    <w:rsid w:val="00CE6408"/>
    <w:rsid w:val="00CF06B1"/>
    <w:rsid w:val="00D23FC3"/>
    <w:rsid w:val="00D322CB"/>
    <w:rsid w:val="00D50802"/>
    <w:rsid w:val="00D7708F"/>
    <w:rsid w:val="00D81759"/>
    <w:rsid w:val="00DE0DDE"/>
    <w:rsid w:val="00E009D3"/>
    <w:rsid w:val="00E22E19"/>
    <w:rsid w:val="00E456AA"/>
    <w:rsid w:val="00E60F8E"/>
    <w:rsid w:val="00E8796F"/>
    <w:rsid w:val="00EA31FA"/>
    <w:rsid w:val="00EB4D85"/>
    <w:rsid w:val="00EC7A78"/>
    <w:rsid w:val="00ED4D5D"/>
    <w:rsid w:val="00EE024F"/>
    <w:rsid w:val="00EF0B0C"/>
    <w:rsid w:val="00F22FC8"/>
    <w:rsid w:val="00F43000"/>
    <w:rsid w:val="00F901BA"/>
    <w:rsid w:val="00F91670"/>
    <w:rsid w:val="00F917AA"/>
    <w:rsid w:val="00F97891"/>
    <w:rsid w:val="00FA6399"/>
    <w:rsid w:val="00FB0DDA"/>
    <w:rsid w:val="00FC1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B83395-35BA-4000-A50B-9492DEFE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b/>
      <w:sz w:val="32"/>
      <w:lang w:eastAsia="ar-SA"/>
    </w:rPr>
  </w:style>
  <w:style w:type="paragraph" w:styleId="Ttulo1">
    <w:name w:val="heading 1"/>
    <w:basedOn w:val="Normal"/>
    <w:next w:val="Normal"/>
    <w:qFormat/>
    <w:pPr>
      <w:keepNext/>
      <w:numPr>
        <w:numId w:val="1"/>
      </w:numPr>
      <w:jc w:val="right"/>
      <w:outlineLvl w:val="0"/>
    </w:pPr>
    <w:rPr>
      <w:sz w:val="28"/>
    </w:rPr>
  </w:style>
  <w:style w:type="paragraph" w:styleId="Ttulo2">
    <w:name w:val="heading 2"/>
    <w:basedOn w:val="Normal"/>
    <w:next w:val="Normal"/>
    <w:qFormat/>
    <w:pPr>
      <w:keepNext/>
      <w:numPr>
        <w:ilvl w:val="1"/>
        <w:numId w:val="1"/>
      </w:numPr>
      <w:jc w:val="center"/>
      <w:outlineLvl w:val="1"/>
    </w:pPr>
    <w:rPr>
      <w:sz w:val="48"/>
    </w:rPr>
  </w:style>
  <w:style w:type="paragraph" w:styleId="Ttulo3">
    <w:name w:val="heading 3"/>
    <w:basedOn w:val="Normal"/>
    <w:next w:val="Normal"/>
    <w:qFormat/>
    <w:pPr>
      <w:keepNext/>
      <w:numPr>
        <w:ilvl w:val="2"/>
        <w:numId w:val="1"/>
      </w:numPr>
      <w:jc w:val="center"/>
      <w:outlineLvl w:val="2"/>
    </w:pPr>
    <w:rPr>
      <w:caps/>
      <w:sz w:val="28"/>
    </w:rPr>
  </w:style>
  <w:style w:type="paragraph" w:styleId="Ttulo4">
    <w:name w:val="heading 4"/>
    <w:basedOn w:val="Normal"/>
    <w:next w:val="Normal"/>
    <w:qFormat/>
    <w:pPr>
      <w:keepNext/>
      <w:numPr>
        <w:ilvl w:val="3"/>
        <w:numId w:val="1"/>
      </w:numPr>
      <w:spacing w:line="360" w:lineRule="auto"/>
      <w:outlineLvl w:val="3"/>
    </w:pPr>
    <w:rPr>
      <w:sz w:val="28"/>
    </w:rPr>
  </w:style>
  <w:style w:type="paragraph" w:styleId="Ttulo5">
    <w:name w:val="heading 5"/>
    <w:basedOn w:val="Normal"/>
    <w:next w:val="Normal"/>
    <w:qFormat/>
    <w:pPr>
      <w:keepNext/>
      <w:numPr>
        <w:ilvl w:val="4"/>
        <w:numId w:val="1"/>
      </w:numPr>
      <w:outlineLvl w:val="4"/>
    </w:pPr>
  </w:style>
  <w:style w:type="paragraph" w:styleId="Ttulo6">
    <w:name w:val="heading 6"/>
    <w:basedOn w:val="Normal"/>
    <w:next w:val="Normal"/>
    <w:qFormat/>
    <w:pPr>
      <w:keepNext/>
      <w:widowControl w:val="0"/>
      <w:numPr>
        <w:ilvl w:val="5"/>
        <w:numId w:val="1"/>
      </w:numPr>
      <w:autoSpaceDE w:val="0"/>
      <w:jc w:val="center"/>
      <w:outlineLvl w:val="5"/>
    </w:pPr>
    <w:rPr>
      <w:rFonts w:ascii="Arial" w:hAnsi="Arial" w:cs="Arial"/>
      <w:b w:val="0"/>
      <w:bCs/>
      <w:color w:val="000000"/>
      <w:sz w:val="36"/>
      <w:szCs w:val="36"/>
    </w:rPr>
  </w:style>
  <w:style w:type="paragraph" w:styleId="Ttulo7">
    <w:name w:val="heading 7"/>
    <w:basedOn w:val="Normal"/>
    <w:next w:val="Normal"/>
    <w:qFormat/>
    <w:pPr>
      <w:numPr>
        <w:ilvl w:val="6"/>
        <w:numId w:val="1"/>
      </w:numPr>
      <w:spacing w:before="240" w:after="60"/>
      <w:outlineLvl w:val="6"/>
    </w:pPr>
    <w:rPr>
      <w:b w:val="0"/>
      <w:sz w:val="24"/>
      <w:szCs w:val="24"/>
    </w:rPr>
  </w:style>
  <w:style w:type="paragraph" w:styleId="Ttulo8">
    <w:name w:val="heading 8"/>
    <w:basedOn w:val="Normal"/>
    <w:next w:val="Normal"/>
    <w:qFormat/>
    <w:pPr>
      <w:numPr>
        <w:ilvl w:val="7"/>
        <w:numId w:val="1"/>
      </w:numPr>
      <w:spacing w:before="240" w:after="60"/>
      <w:outlineLvl w:val="7"/>
    </w:pPr>
    <w:rPr>
      <w:b w:val="0"/>
      <w:i/>
      <w:iCs/>
      <w:sz w:val="24"/>
      <w:szCs w:val="24"/>
    </w:rPr>
  </w:style>
  <w:style w:type="paragraph" w:styleId="Ttulo9">
    <w:name w:val="heading 9"/>
    <w:basedOn w:val="Normal"/>
    <w:next w:val="Normal"/>
    <w:qFormat/>
    <w:pPr>
      <w:numPr>
        <w:ilvl w:val="8"/>
        <w:numId w:val="1"/>
      </w:numPr>
      <w:spacing w:before="240" w:after="60"/>
      <w:outlineLvl w:val="8"/>
    </w:pPr>
    <w:rPr>
      <w:rFonts w:ascii="Arial" w:hAnsi="Arial" w:cs="Arial"/>
      <w:b w:val="0"/>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Times New Roman" w:hAnsi="Times New Roman"/>
      <w:sz w:val="20"/>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6z0">
    <w:name w:val="WW8Num6z0"/>
    <w:rPr>
      <w:vertAlign w:val="superscript"/>
    </w:rPr>
  </w:style>
  <w:style w:type="character" w:customStyle="1" w:styleId="WW8Num7z0">
    <w:name w:val="WW8Num7z0"/>
    <w:rPr>
      <w:rFonts w:ascii="Wingdings" w:hAnsi="Wingdings"/>
    </w:rPr>
  </w:style>
  <w:style w:type="character" w:customStyle="1" w:styleId="WW8Num7z1">
    <w:name w:val="WW8Num7z1"/>
    <w:rPr>
      <w:rFonts w:ascii="Courier New" w:hAnsi="Courier New" w:cs="Arial"/>
    </w:rPr>
  </w:style>
  <w:style w:type="character" w:customStyle="1" w:styleId="WW8Num7z3">
    <w:name w:val="WW8Num7z3"/>
    <w:rPr>
      <w:rFonts w:ascii="Symbol" w:hAnsi="Symbol"/>
    </w:rPr>
  </w:style>
  <w:style w:type="character" w:customStyle="1" w:styleId="WW8Num8z0">
    <w:name w:val="WW8Num8z0"/>
    <w:rPr>
      <w:rFonts w:ascii="TimesNewRoman" w:eastAsia="Times New Roman" w:hAnsi="TimesNew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Times New Roman" w:hAnsi="Times New Roman"/>
      <w:sz w:val="20"/>
    </w:rPr>
  </w:style>
  <w:style w:type="character" w:customStyle="1" w:styleId="WW8Num10z1">
    <w:name w:val="WW8Num10z1"/>
    <w:rPr>
      <w:rFonts w:ascii="Times New Roman" w:hAnsi="Times New Roman"/>
      <w:b w:val="0"/>
      <w:i/>
      <w:sz w:val="20"/>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Fontepargpadro1">
    <w:name w:val="Fonte parág. padrão1"/>
  </w:style>
  <w:style w:type="character" w:styleId="Nmerodepgina">
    <w:name w:val="page number"/>
    <w:basedOn w:val="Fontepargpadro1"/>
  </w:style>
  <w:style w:type="character" w:styleId="Hyperlink">
    <w:name w:val="Hyperlink"/>
    <w:rPr>
      <w:color w:val="000099"/>
      <w:u w:val="single"/>
    </w:rPr>
  </w:style>
  <w:style w:type="character" w:customStyle="1" w:styleId="Caracteresdenotaderodap">
    <w:name w:val="Caracteres de nota de rodapé"/>
    <w:rPr>
      <w:vertAlign w:val="superscript"/>
    </w:rPr>
  </w:style>
  <w:style w:type="character" w:styleId="HiperlinkVisitado">
    <w:name w:val="FollowedHyperlink"/>
    <w:rPr>
      <w:color w:val="800080"/>
      <w:u w:val="single"/>
    </w:rPr>
  </w:style>
  <w:style w:type="character" w:styleId="Forte">
    <w:name w:val="Strong"/>
    <w:qFormat/>
    <w:rPr>
      <w:b/>
      <w:bCs/>
    </w:rPr>
  </w:style>
  <w:style w:type="character" w:customStyle="1" w:styleId="bodyred1">
    <w:name w:val="bodyred1"/>
    <w:rPr>
      <w:rFonts w:ascii="Arial" w:hAnsi="Arial" w:cs="Arial"/>
      <w:b/>
      <w:bCs/>
      <w:color w:val="990000"/>
      <w:sz w:val="21"/>
      <w:szCs w:val="21"/>
    </w:rPr>
  </w:style>
  <w:style w:type="character" w:customStyle="1" w:styleId="CabealhoChar">
    <w:name w:val="Cabeçalho Char"/>
    <w:rPr>
      <w:rFonts w:ascii="Calibri" w:eastAsia="Times New Roman" w:hAnsi="Calibri" w:cs="Times New Roman"/>
      <w:lang w:val="en-US"/>
    </w:rPr>
  </w:style>
  <w:style w:type="character" w:styleId="Refdenotaderodap">
    <w:name w:val="footnote reference"/>
    <w:semiHidden/>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semiHidden/>
    <w:rPr>
      <w:vertAlign w:val="superscript"/>
    </w:rPr>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jc w:val="center"/>
    </w:pPr>
    <w:rPr>
      <w:smallCaps/>
      <w:sz w:val="28"/>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Rodap">
    <w:name w:val="footer"/>
    <w:basedOn w:val="Normal"/>
    <w:link w:val="RodapChar"/>
    <w:uiPriority w:val="99"/>
    <w:pPr>
      <w:tabs>
        <w:tab w:val="center" w:pos="4419"/>
        <w:tab w:val="right" w:pos="8838"/>
      </w:tabs>
    </w:pPr>
  </w:style>
  <w:style w:type="paragraph" w:styleId="Cabealho">
    <w:name w:val="header"/>
    <w:basedOn w:val="Normal"/>
    <w:pPr>
      <w:tabs>
        <w:tab w:val="center" w:pos="4419"/>
        <w:tab w:val="right" w:pos="8838"/>
      </w:tabs>
    </w:pPr>
  </w:style>
  <w:style w:type="paragraph" w:customStyle="1" w:styleId="TtulodoArtigo">
    <w:name w:val="Título do Artigo"/>
    <w:basedOn w:val="Normal"/>
    <w:pPr>
      <w:jc w:val="center"/>
    </w:pPr>
    <w:rPr>
      <w:caps/>
      <w:sz w:val="28"/>
      <w:szCs w:val="24"/>
    </w:rPr>
  </w:style>
  <w:style w:type="paragraph" w:customStyle="1" w:styleId="Corpodetexto21">
    <w:name w:val="Corpo de texto 21"/>
    <w:basedOn w:val="Normal"/>
    <w:pPr>
      <w:spacing w:before="120"/>
    </w:pPr>
    <w:rPr>
      <w:b w:val="0"/>
      <w:sz w:val="24"/>
    </w:rPr>
  </w:style>
  <w:style w:type="paragraph" w:styleId="Recuodecorpodetexto">
    <w:name w:val="Body Text Indent"/>
    <w:basedOn w:val="Normal"/>
    <w:pPr>
      <w:ind w:firstLine="851"/>
      <w:jc w:val="both"/>
    </w:pPr>
    <w:rPr>
      <w:b w:val="0"/>
      <w:spacing w:val="-3"/>
      <w:sz w:val="24"/>
    </w:rPr>
  </w:style>
  <w:style w:type="paragraph" w:customStyle="1" w:styleId="Recuodecorpodetexto21">
    <w:name w:val="Recuo de corpo de texto 21"/>
    <w:basedOn w:val="Normal"/>
    <w:pPr>
      <w:spacing w:after="120"/>
      <w:ind w:firstLine="851"/>
      <w:jc w:val="both"/>
    </w:pPr>
    <w:rPr>
      <w:b w:val="0"/>
      <w:spacing w:val="-3"/>
      <w:sz w:val="20"/>
    </w:rPr>
  </w:style>
  <w:style w:type="paragraph" w:customStyle="1" w:styleId="Corpodetexto31">
    <w:name w:val="Corpo de texto 31"/>
    <w:basedOn w:val="Normal"/>
    <w:pPr>
      <w:widowControl w:val="0"/>
      <w:autoSpaceDE w:val="0"/>
    </w:pPr>
    <w:rPr>
      <w:rFonts w:ascii="Arial" w:hAnsi="Arial" w:cs="Arial"/>
      <w:color w:val="000000"/>
      <w:sz w:val="24"/>
    </w:rPr>
  </w:style>
  <w:style w:type="paragraph" w:customStyle="1" w:styleId="Recuodecorpodetexto31">
    <w:name w:val="Recuo de corpo de texto 31"/>
    <w:basedOn w:val="Normal"/>
    <w:pPr>
      <w:autoSpaceDE w:val="0"/>
      <w:ind w:left="142" w:hanging="142"/>
      <w:jc w:val="both"/>
    </w:pPr>
    <w:rPr>
      <w:rFonts w:ascii="TimesNewRoman" w:hAnsi="TimesNewRoman"/>
      <w:b w:val="0"/>
      <w:sz w:val="24"/>
      <w:szCs w:val="24"/>
    </w:rPr>
  </w:style>
  <w:style w:type="paragraph" w:styleId="Ttulo">
    <w:name w:val="Title"/>
    <w:basedOn w:val="Normal"/>
    <w:next w:val="Subttulo"/>
    <w:qFormat/>
    <w:pPr>
      <w:spacing w:after="240" w:line="320" w:lineRule="atLeast"/>
      <w:jc w:val="center"/>
    </w:pPr>
    <w:rPr>
      <w:b w:val="0"/>
      <w:sz w:val="28"/>
    </w:rPr>
  </w:style>
  <w:style w:type="paragraph" w:styleId="Subttulo">
    <w:name w:val="Subtitle"/>
    <w:basedOn w:val="Captulo"/>
    <w:next w:val="Corpodetexto"/>
    <w:qFormat/>
    <w:pPr>
      <w:jc w:val="center"/>
    </w:pPr>
    <w:rPr>
      <w:i/>
      <w:iCs/>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b w:val="0"/>
      <w:sz w:val="20"/>
    </w:rPr>
  </w:style>
  <w:style w:type="paragraph" w:customStyle="1" w:styleId="AuthorsInformation">
    <w:name w:val="Authors Information"/>
    <w:basedOn w:val="Normal"/>
    <w:pPr>
      <w:jc w:val="center"/>
    </w:pPr>
    <w:rPr>
      <w:b w:val="0"/>
      <w:sz w:val="20"/>
      <w:szCs w:val="24"/>
    </w:rPr>
  </w:style>
  <w:style w:type="paragraph" w:customStyle="1" w:styleId="AuthorsNames">
    <w:name w:val="Authors Names"/>
    <w:basedOn w:val="Normal"/>
    <w:pPr>
      <w:jc w:val="center"/>
    </w:pPr>
    <w:rPr>
      <w:b w:val="0"/>
      <w:sz w:val="24"/>
      <w:szCs w:val="24"/>
    </w:rPr>
  </w:style>
  <w:style w:type="paragraph" w:customStyle="1" w:styleId="MainTitle">
    <w:name w:val="Main Title"/>
    <w:basedOn w:val="Normal"/>
    <w:pPr>
      <w:jc w:val="center"/>
    </w:pPr>
    <w:rPr>
      <w:caps/>
      <w:sz w:val="28"/>
      <w:szCs w:val="24"/>
    </w:rPr>
  </w:style>
  <w:style w:type="paragraph" w:customStyle="1" w:styleId="AbstractBody">
    <w:name w:val="Abstract Body"/>
    <w:basedOn w:val="Normal"/>
    <w:pPr>
      <w:ind w:firstLine="227"/>
      <w:jc w:val="both"/>
    </w:pPr>
    <w:rPr>
      <w:sz w:val="20"/>
      <w:szCs w:val="24"/>
    </w:rPr>
  </w:style>
  <w:style w:type="paragraph" w:customStyle="1" w:styleId="KeywordsBody">
    <w:name w:val="Keywords Body"/>
    <w:basedOn w:val="AbstractBody"/>
  </w:style>
  <w:style w:type="paragraph" w:customStyle="1" w:styleId="MainTitleSecond">
    <w:name w:val="Main Title Second"/>
    <w:basedOn w:val="MainTitle"/>
    <w:rPr>
      <w:sz w:val="24"/>
    </w:rPr>
  </w:style>
  <w:style w:type="paragraph" w:customStyle="1" w:styleId="TextBody">
    <w:name w:val="Text Body"/>
    <w:basedOn w:val="Normal"/>
    <w:pPr>
      <w:ind w:firstLine="227"/>
      <w:jc w:val="both"/>
    </w:pPr>
    <w:rPr>
      <w:b w:val="0"/>
      <w:sz w:val="20"/>
      <w:szCs w:val="24"/>
    </w:rPr>
  </w:style>
  <w:style w:type="paragraph" w:styleId="Textodenotaderodap">
    <w:name w:val="footnote text"/>
    <w:basedOn w:val="Normal"/>
    <w:semiHidden/>
    <w:pPr>
      <w:jc w:val="both"/>
    </w:pPr>
    <w:rPr>
      <w:b w:val="0"/>
      <w:sz w:val="16"/>
    </w:rPr>
  </w:style>
  <w:style w:type="paragraph" w:customStyle="1" w:styleId="TitleNoNumber">
    <w:name w:val="Title No Number"/>
    <w:basedOn w:val="Normal"/>
    <w:pPr>
      <w:spacing w:before="200" w:after="200"/>
      <w:jc w:val="center"/>
    </w:pPr>
    <w:rPr>
      <w:b w:val="0"/>
      <w:caps/>
      <w:sz w:val="20"/>
      <w:szCs w:val="24"/>
    </w:rPr>
  </w:style>
  <w:style w:type="paragraph" w:customStyle="1" w:styleId="Nomenclaturabody">
    <w:name w:val="Nomenclatura body"/>
    <w:basedOn w:val="Normal"/>
    <w:next w:val="Normal"/>
    <w:pPr>
      <w:tabs>
        <w:tab w:val="left" w:pos="1134"/>
      </w:tabs>
      <w:ind w:firstLine="227"/>
      <w:jc w:val="both"/>
    </w:pPr>
    <w:rPr>
      <w:b w:val="0"/>
      <w:sz w:val="20"/>
      <w:szCs w:val="24"/>
    </w:rPr>
  </w:style>
  <w:style w:type="paragraph" w:customStyle="1" w:styleId="TableCaption">
    <w:name w:val="Table Caption"/>
    <w:basedOn w:val="Normal"/>
    <w:pPr>
      <w:jc w:val="center"/>
    </w:pPr>
    <w:rPr>
      <w:sz w:val="20"/>
      <w:szCs w:val="24"/>
    </w:rPr>
  </w:style>
  <w:style w:type="paragraph" w:customStyle="1" w:styleId="TableBodyText">
    <w:name w:val="Table Body Text"/>
    <w:basedOn w:val="Normal"/>
    <w:rPr>
      <w:b w:val="0"/>
      <w:sz w:val="16"/>
      <w:szCs w:val="24"/>
    </w:rPr>
  </w:style>
  <w:style w:type="paragraph" w:customStyle="1" w:styleId="BioBody">
    <w:name w:val="Bio Body"/>
    <w:basedOn w:val="Normal"/>
    <w:pPr>
      <w:jc w:val="both"/>
    </w:pPr>
    <w:rPr>
      <w:b w:val="0"/>
      <w:sz w:val="20"/>
      <w:szCs w:val="24"/>
    </w:rPr>
  </w:style>
  <w:style w:type="paragraph" w:customStyle="1" w:styleId="FigureCaptions">
    <w:name w:val="Figure Captions"/>
    <w:basedOn w:val="Normal"/>
    <w:pPr>
      <w:spacing w:before="40" w:after="200"/>
      <w:jc w:val="center"/>
    </w:pPr>
    <w:rPr>
      <w:b w:val="0"/>
      <w:sz w:val="18"/>
      <w:szCs w:val="24"/>
    </w:rPr>
  </w:style>
  <w:style w:type="paragraph" w:customStyle="1" w:styleId="ReferencesBody">
    <w:name w:val="References Body"/>
    <w:basedOn w:val="Normal"/>
    <w:pPr>
      <w:numPr>
        <w:numId w:val="2"/>
      </w:numPr>
      <w:jc w:val="both"/>
    </w:pPr>
    <w:rPr>
      <w:b w:val="0"/>
      <w:sz w:val="20"/>
      <w:szCs w:val="24"/>
    </w:rPr>
  </w:style>
  <w:style w:type="paragraph" w:customStyle="1" w:styleId="Equation">
    <w:name w:val="Equation"/>
    <w:basedOn w:val="TextBody"/>
    <w:next w:val="TextBody"/>
    <w:pPr>
      <w:tabs>
        <w:tab w:val="center" w:pos="2466"/>
        <w:tab w:val="right" w:pos="4933"/>
      </w:tabs>
      <w:ind w:firstLine="0"/>
    </w:pPr>
  </w:style>
  <w:style w:type="paragraph" w:customStyle="1" w:styleId="Figura">
    <w:name w:val="Figura"/>
    <w:basedOn w:val="Normal"/>
    <w:pPr>
      <w:spacing w:before="200"/>
      <w:jc w:val="center"/>
    </w:pPr>
    <w:rPr>
      <w:b w:val="0"/>
      <w:sz w:val="20"/>
      <w:szCs w:val="24"/>
    </w:rPr>
  </w:style>
  <w:style w:type="paragraph" w:customStyle="1" w:styleId="Default">
    <w:name w:val="Default"/>
    <w:pPr>
      <w:suppressAutoHyphens/>
      <w:autoSpaceDE w:val="0"/>
    </w:pPr>
    <w:rPr>
      <w:rFonts w:eastAsia="Arial"/>
      <w:color w:val="000000"/>
      <w:sz w:val="24"/>
      <w:szCs w:val="24"/>
      <w:lang w:eastAsia="ar-SA"/>
    </w:rPr>
  </w:style>
  <w:style w:type="paragraph" w:customStyle="1" w:styleId="TtuloArtigo">
    <w:name w:val="TítuloArtigo"/>
    <w:basedOn w:val="Default"/>
    <w:next w:val="Default"/>
    <w:rPr>
      <w:color w:val="auto"/>
    </w:rPr>
  </w:style>
  <w:style w:type="paragraph" w:customStyle="1" w:styleId="Titulo">
    <w:name w:val="Titulo"/>
    <w:basedOn w:val="Default"/>
    <w:next w:val="Default"/>
    <w:rPr>
      <w:color w:val="auto"/>
    </w:rPr>
  </w:style>
  <w:style w:type="paragraph" w:customStyle="1" w:styleId="ListaColorida-nfase11">
    <w:name w:val="Lista Colorida - Ênfase 11"/>
    <w:basedOn w:val="Normal"/>
    <w:pPr>
      <w:spacing w:after="200" w:line="276" w:lineRule="auto"/>
      <w:ind w:left="720"/>
    </w:pPr>
    <w:rPr>
      <w:rFonts w:ascii="Calibri" w:hAnsi="Calibri"/>
      <w:b w:val="0"/>
      <w:sz w:val="22"/>
      <w:szCs w:val="22"/>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Cs/>
    </w:rPr>
  </w:style>
  <w:style w:type="paragraph" w:customStyle="1" w:styleId="Contedodoquadro">
    <w:name w:val="Conteúdo do quadro"/>
    <w:basedOn w:val="Corpodetexto"/>
  </w:style>
  <w:style w:type="character" w:customStyle="1" w:styleId="RodapChar">
    <w:name w:val="Rodapé Char"/>
    <w:link w:val="Rodap"/>
    <w:uiPriority w:val="99"/>
    <w:rsid w:val="00ED4D5D"/>
    <w:rPr>
      <w:b/>
      <w:sz w:val="32"/>
      <w:lang w:eastAsia="ar-SA"/>
    </w:rPr>
  </w:style>
  <w:style w:type="character" w:styleId="Refdecomentrio">
    <w:name w:val="annotation reference"/>
    <w:rsid w:val="00BE2AF4"/>
    <w:rPr>
      <w:sz w:val="16"/>
      <w:szCs w:val="16"/>
    </w:rPr>
  </w:style>
  <w:style w:type="paragraph" w:styleId="Textodecomentrio">
    <w:name w:val="annotation text"/>
    <w:basedOn w:val="Normal"/>
    <w:link w:val="TextodecomentrioChar"/>
    <w:rsid w:val="00BE2AF4"/>
    <w:rPr>
      <w:sz w:val="20"/>
    </w:rPr>
  </w:style>
  <w:style w:type="character" w:customStyle="1" w:styleId="TextodecomentrioChar">
    <w:name w:val="Texto de comentário Char"/>
    <w:link w:val="Textodecomentrio"/>
    <w:rsid w:val="00BE2AF4"/>
    <w:rPr>
      <w:b/>
      <w:lang w:eastAsia="ar-SA"/>
    </w:rPr>
  </w:style>
  <w:style w:type="paragraph" w:styleId="Assuntodocomentrio">
    <w:name w:val="annotation subject"/>
    <w:basedOn w:val="Textodecomentrio"/>
    <w:next w:val="Textodecomentrio"/>
    <w:link w:val="AssuntodocomentrioChar"/>
    <w:rsid w:val="00BE2AF4"/>
    <w:rPr>
      <w:bCs/>
    </w:rPr>
  </w:style>
  <w:style w:type="character" w:customStyle="1" w:styleId="AssuntodocomentrioChar">
    <w:name w:val="Assunto do comentário Char"/>
    <w:link w:val="Assuntodocomentrio"/>
    <w:rsid w:val="00BE2AF4"/>
    <w:rPr>
      <w:b/>
      <w:bCs/>
      <w:lang w:eastAsia="ar-SA"/>
    </w:rPr>
  </w:style>
  <w:style w:type="paragraph" w:styleId="Textodebalo">
    <w:name w:val="Balloon Text"/>
    <w:basedOn w:val="Normal"/>
    <w:link w:val="TextodebaloChar"/>
    <w:rsid w:val="00BE2AF4"/>
    <w:rPr>
      <w:rFonts w:ascii="Tahoma" w:hAnsi="Tahoma" w:cs="Tahoma"/>
      <w:sz w:val="16"/>
      <w:szCs w:val="16"/>
    </w:rPr>
  </w:style>
  <w:style w:type="character" w:customStyle="1" w:styleId="TextodebaloChar">
    <w:name w:val="Texto de balão Char"/>
    <w:link w:val="Textodebalo"/>
    <w:rsid w:val="00BE2AF4"/>
    <w:rPr>
      <w:rFonts w:ascii="Tahoma" w:hAnsi="Tahoma" w:cs="Tahoma"/>
      <w:b/>
      <w:sz w:val="16"/>
      <w:szCs w:val="16"/>
      <w:lang w:eastAsia="ar-SA"/>
    </w:rPr>
  </w:style>
  <w:style w:type="paragraph" w:styleId="PargrafodaLista">
    <w:name w:val="List Paragraph"/>
    <w:basedOn w:val="Normal"/>
    <w:uiPriority w:val="34"/>
    <w:qFormat/>
    <w:rsid w:val="00A926C3"/>
    <w:pPr>
      <w:ind w:left="720"/>
      <w:contextualSpacing/>
    </w:pPr>
  </w:style>
  <w:style w:type="paragraph" w:styleId="Legenda">
    <w:name w:val="caption"/>
    <w:basedOn w:val="Normal"/>
    <w:next w:val="Normal"/>
    <w:unhideWhenUsed/>
    <w:qFormat/>
    <w:rsid w:val="00A926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8B1BE-B42C-47A2-AD33-492BDBE05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2743</Words>
  <Characters>14815</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ISSN 1414-8862</vt:lpstr>
      <vt:lpstr>ISSN 1414-8862</vt:lpstr>
    </vt:vector>
  </TitlesOfParts>
  <Company>SOBRAEP</Company>
  <LinksUpToDate>false</LinksUpToDate>
  <CharactersWithSpaces>17523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ISSN 1414-8862</dc:title>
  <dc:subject/>
  <dc:creator>iSOBRAEP</dc:creator>
  <cp:keywords/>
  <cp:lastModifiedBy>Fabio</cp:lastModifiedBy>
  <cp:revision>27</cp:revision>
  <cp:lastPrinted>2015-07-23T13:15:00Z</cp:lastPrinted>
  <dcterms:created xsi:type="dcterms:W3CDTF">2015-11-29T14:52:00Z</dcterms:created>
  <dcterms:modified xsi:type="dcterms:W3CDTF">2015-12-04T10:23:00Z</dcterms:modified>
</cp:coreProperties>
</file>