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DF005" w14:textId="16A52A41" w:rsidR="00933E55" w:rsidRDefault="00933E55" w:rsidP="00933E55">
      <w:pPr>
        <w:numPr>
          <w:ilvl w:val="0"/>
          <w:numId w:val="1"/>
        </w:numPr>
        <w:spacing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33E55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5952AAB2" w14:textId="22375644" w:rsidR="00933E55" w:rsidRDefault="00321A6E" w:rsidP="00933E55">
      <w:pPr>
        <w:spacing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Based on th</w:t>
      </w:r>
      <w:r w:rsidR="007826EA">
        <w:rPr>
          <w:rFonts w:ascii="Segoe UI" w:eastAsia="Times New Roman" w:hAnsi="Segoe UI" w:cs="Segoe UI"/>
          <w:color w:val="24292E"/>
          <w:sz w:val="24"/>
          <w:szCs w:val="24"/>
        </w:rPr>
        <w:t>e pivot chart</w:t>
      </w:r>
      <w:r w:rsidR="006E40B6">
        <w:rPr>
          <w:rFonts w:ascii="Segoe UI" w:eastAsia="Times New Roman" w:hAnsi="Segoe UI" w:cs="Segoe UI"/>
          <w:color w:val="24292E"/>
          <w:sz w:val="24"/>
          <w:szCs w:val="24"/>
        </w:rPr>
        <w:t>s and bar graphs</w:t>
      </w:r>
      <w:r w:rsidR="007826EA">
        <w:rPr>
          <w:rFonts w:ascii="Segoe UI" w:eastAsia="Times New Roman" w:hAnsi="Segoe UI" w:cs="Segoe UI"/>
          <w:color w:val="24292E"/>
          <w:sz w:val="24"/>
          <w:szCs w:val="24"/>
        </w:rPr>
        <w:t xml:space="preserve"> displayed in ‘Sheet</w:t>
      </w:r>
      <w:r w:rsidR="00DE6638">
        <w:rPr>
          <w:rFonts w:ascii="Segoe UI" w:eastAsia="Times New Roman" w:hAnsi="Segoe UI" w:cs="Segoe UI"/>
          <w:color w:val="24292E"/>
          <w:sz w:val="24"/>
          <w:szCs w:val="24"/>
        </w:rPr>
        <w:t>2</w:t>
      </w:r>
      <w:r w:rsidR="007826EA">
        <w:rPr>
          <w:rFonts w:ascii="Segoe UI" w:eastAsia="Times New Roman" w:hAnsi="Segoe UI" w:cs="Segoe UI"/>
          <w:color w:val="24292E"/>
          <w:sz w:val="24"/>
          <w:szCs w:val="24"/>
        </w:rPr>
        <w:t>’</w:t>
      </w:r>
      <w:r w:rsidR="006E40B6">
        <w:rPr>
          <w:rFonts w:ascii="Segoe UI" w:eastAsia="Times New Roman" w:hAnsi="Segoe UI" w:cs="Segoe UI"/>
          <w:color w:val="24292E"/>
          <w:sz w:val="24"/>
          <w:szCs w:val="24"/>
        </w:rPr>
        <w:t xml:space="preserve"> and ‘Sheet</w:t>
      </w:r>
      <w:r w:rsidR="00DE6638">
        <w:rPr>
          <w:rFonts w:ascii="Segoe UI" w:eastAsia="Times New Roman" w:hAnsi="Segoe UI" w:cs="Segoe UI"/>
          <w:color w:val="24292E"/>
          <w:sz w:val="24"/>
          <w:szCs w:val="24"/>
        </w:rPr>
        <w:t>3</w:t>
      </w:r>
      <w:r w:rsidR="006E40B6">
        <w:rPr>
          <w:rFonts w:ascii="Segoe UI" w:eastAsia="Times New Roman" w:hAnsi="Segoe UI" w:cs="Segoe UI"/>
          <w:color w:val="24292E"/>
          <w:sz w:val="24"/>
          <w:szCs w:val="24"/>
        </w:rPr>
        <w:t>’</w:t>
      </w:r>
      <w:r w:rsidR="007826EA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can conclude that </w:t>
      </w:r>
      <w:r w:rsidR="0001200C">
        <w:rPr>
          <w:rFonts w:ascii="Segoe UI" w:eastAsia="Times New Roman" w:hAnsi="Segoe UI" w:cs="Segoe UI"/>
          <w:color w:val="24292E"/>
          <w:sz w:val="24"/>
          <w:szCs w:val="24"/>
        </w:rPr>
        <w:t>Kickstarter campaigns are popular with theater plays. They make up about 34% of the total campaigns</w:t>
      </w:r>
      <w:r w:rsidR="007826EA">
        <w:rPr>
          <w:rFonts w:ascii="Segoe UI" w:eastAsia="Times New Roman" w:hAnsi="Segoe UI" w:cs="Segoe UI"/>
          <w:color w:val="24292E"/>
          <w:sz w:val="24"/>
          <w:szCs w:val="24"/>
        </w:rPr>
        <w:t xml:space="preserve"> and have the second highest percentage of successes, after music (60% and 77%, respectively). </w:t>
      </w:r>
    </w:p>
    <w:p w14:paraId="6DF85438" w14:textId="0FF1796A" w:rsidR="00DE6638" w:rsidRDefault="00DE6638" w:rsidP="00DE6638">
      <w:pPr>
        <w:spacing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 ‘Sheet3’</w:t>
      </w:r>
      <w:r w:rsidR="00B34FF4">
        <w:rPr>
          <w:rFonts w:ascii="Segoe UI" w:eastAsia="Times New Roman" w:hAnsi="Segoe UI" w:cs="Segoe UI"/>
          <w:color w:val="24292E"/>
          <w:sz w:val="24"/>
          <w:szCs w:val="24"/>
        </w:rPr>
        <w:t>, based on the bar graph,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we can see more clearly which sub-categories have high success rates. There are 12 different sub-categories that have 100% success rates</w:t>
      </w:r>
      <w:r w:rsidR="00B34FF4">
        <w:rPr>
          <w:rFonts w:ascii="Segoe UI" w:eastAsia="Times New Roman" w:hAnsi="Segoe UI" w:cs="Segoe UI"/>
          <w:color w:val="24292E"/>
          <w:sz w:val="24"/>
          <w:szCs w:val="24"/>
        </w:rPr>
        <w:t xml:space="preserve"> with more than 25 campaigns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; </w:t>
      </w:r>
      <w:r w:rsidRPr="00DE6638">
        <w:rPr>
          <w:rFonts w:ascii="Segoe UI" w:eastAsia="Times New Roman" w:hAnsi="Segoe UI" w:cs="Segoe UI"/>
          <w:color w:val="24292E"/>
          <w:sz w:val="24"/>
          <w:szCs w:val="24"/>
        </w:rPr>
        <w:t>classical music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DE6638">
        <w:rPr>
          <w:rFonts w:ascii="Segoe UI" w:eastAsia="Times New Roman" w:hAnsi="Segoe UI" w:cs="Segoe UI"/>
          <w:color w:val="24292E"/>
          <w:sz w:val="24"/>
          <w:szCs w:val="24"/>
        </w:rPr>
        <w:t>documentary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DE6638">
        <w:rPr>
          <w:rFonts w:ascii="Segoe UI" w:eastAsia="Times New Roman" w:hAnsi="Segoe UI" w:cs="Segoe UI"/>
          <w:color w:val="24292E"/>
          <w:sz w:val="24"/>
          <w:szCs w:val="24"/>
        </w:rPr>
        <w:t>electronic music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DE6638">
        <w:rPr>
          <w:rFonts w:ascii="Segoe UI" w:eastAsia="Times New Roman" w:hAnsi="Segoe UI" w:cs="Segoe UI"/>
          <w:color w:val="24292E"/>
          <w:sz w:val="24"/>
          <w:szCs w:val="24"/>
        </w:rPr>
        <w:t>hardware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DE6638">
        <w:rPr>
          <w:rFonts w:ascii="Segoe UI" w:eastAsia="Times New Roman" w:hAnsi="Segoe UI" w:cs="Segoe UI"/>
          <w:color w:val="24292E"/>
          <w:sz w:val="24"/>
          <w:szCs w:val="24"/>
        </w:rPr>
        <w:t>nonfiction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DE6638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DE6638">
        <w:rPr>
          <w:rFonts w:ascii="Segoe UI" w:eastAsia="Times New Roman" w:hAnsi="Segoe UI" w:cs="Segoe UI"/>
          <w:color w:val="24292E"/>
          <w:sz w:val="24"/>
          <w:szCs w:val="24"/>
        </w:rPr>
        <w:t>rock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DE6638">
        <w:rPr>
          <w:rFonts w:ascii="Segoe UI" w:eastAsia="Times New Roman" w:hAnsi="Segoe UI" w:cs="Segoe UI"/>
          <w:color w:val="24292E"/>
          <w:sz w:val="24"/>
          <w:szCs w:val="24"/>
        </w:rPr>
        <w:t>shorts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DE6638">
        <w:rPr>
          <w:rFonts w:ascii="Segoe UI" w:eastAsia="Times New Roman" w:hAnsi="Segoe UI" w:cs="Segoe UI"/>
          <w:color w:val="24292E"/>
          <w:sz w:val="24"/>
          <w:szCs w:val="24"/>
        </w:rPr>
        <w:t>tabletop games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and </w:t>
      </w:r>
      <w:r w:rsidRPr="00DE6638">
        <w:rPr>
          <w:rFonts w:ascii="Segoe UI" w:eastAsia="Times New Roman" w:hAnsi="Segoe UI" w:cs="Segoe UI"/>
          <w:color w:val="24292E"/>
          <w:sz w:val="24"/>
          <w:szCs w:val="24"/>
        </w:rPr>
        <w:t>television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B34FF4">
        <w:rPr>
          <w:rFonts w:ascii="Segoe UI" w:eastAsia="Times New Roman" w:hAnsi="Segoe UI" w:cs="Segoe UI"/>
          <w:color w:val="24292E"/>
          <w:sz w:val="24"/>
          <w:szCs w:val="24"/>
        </w:rPr>
        <w:t xml:space="preserve"> These would be good campaigns to research and see what methods were used to achieve success.</w:t>
      </w:r>
    </w:p>
    <w:p w14:paraId="133E47DA" w14:textId="2CAC6DAD" w:rsidR="007826EA" w:rsidRDefault="007826EA" w:rsidP="00933E55">
      <w:pPr>
        <w:spacing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Now looking at the pivot chart and line graph on ‘Sheet3’, we can see that the data shows us the best months to run a successful Kickstarter campaign are May and June. After June however, you’re better off waiting to run your campaign next year. The success rate drop</w:t>
      </w:r>
      <w:r w:rsidR="0013462C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56478A">
        <w:rPr>
          <w:rFonts w:ascii="Segoe UI" w:eastAsia="Times New Roman" w:hAnsi="Segoe UI" w:cs="Segoe UI"/>
          <w:color w:val="24292E"/>
          <w:sz w:val="24"/>
          <w:szCs w:val="24"/>
        </w:rPr>
        <w:t xml:space="preserve"> steadily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from </w:t>
      </w:r>
      <w:r w:rsidR="0056478A">
        <w:rPr>
          <w:rFonts w:ascii="Segoe UI" w:eastAsia="Times New Roman" w:hAnsi="Segoe UI" w:cs="Segoe UI"/>
          <w:color w:val="24292E"/>
          <w:sz w:val="24"/>
          <w:szCs w:val="24"/>
        </w:rPr>
        <w:t xml:space="preserve">June to September, have a quick bump is October and </w:t>
      </w:r>
      <w:r w:rsidR="0013462C">
        <w:rPr>
          <w:rFonts w:ascii="Segoe UI" w:eastAsia="Times New Roman" w:hAnsi="Segoe UI" w:cs="Segoe UI"/>
          <w:color w:val="24292E"/>
          <w:sz w:val="24"/>
          <w:szCs w:val="24"/>
        </w:rPr>
        <w:t>November, and then plummet again in December.</w:t>
      </w:r>
    </w:p>
    <w:p w14:paraId="2BA0EFF5" w14:textId="77777777" w:rsidR="0013462C" w:rsidRPr="00933E55" w:rsidRDefault="0013462C" w:rsidP="00933E55">
      <w:pPr>
        <w:spacing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61DE5AD" w14:textId="536B5983" w:rsidR="00933E55" w:rsidRDefault="00933E55" w:rsidP="00933E55">
      <w:pPr>
        <w:numPr>
          <w:ilvl w:val="0"/>
          <w:numId w:val="1"/>
        </w:numPr>
        <w:spacing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33E55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14:paraId="6F469C56" w14:textId="4F64D61B" w:rsidR="00933E55" w:rsidRDefault="00503211" w:rsidP="002546C8">
      <w:pPr>
        <w:pStyle w:val="ListParagraph"/>
        <w:spacing w:line="276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main limitation of this data set </w:t>
      </w:r>
      <w:r w:rsidR="000D12C5">
        <w:rPr>
          <w:rFonts w:ascii="Segoe UI" w:eastAsia="Times New Roman" w:hAnsi="Segoe UI" w:cs="Segoe UI"/>
          <w:color w:val="24292E"/>
          <w:sz w:val="24"/>
          <w:szCs w:val="24"/>
        </w:rPr>
        <w:t>is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that it’s not </w:t>
      </w:r>
      <w:r w:rsidR="000D12C5">
        <w:rPr>
          <w:rFonts w:ascii="Segoe UI" w:eastAsia="Times New Roman" w:hAnsi="Segoe UI" w:cs="Segoe UI"/>
          <w:color w:val="24292E"/>
          <w:sz w:val="24"/>
          <w:szCs w:val="24"/>
        </w:rPr>
        <w:t xml:space="preserve">the entirety of Kickstarter’s campaigns. Although 4114 campaigns </w:t>
      </w:r>
      <w:proofErr w:type="gramStart"/>
      <w:r w:rsidR="000D12C5">
        <w:rPr>
          <w:rFonts w:ascii="Segoe UI" w:eastAsia="Times New Roman" w:hAnsi="Segoe UI" w:cs="Segoe UI"/>
          <w:color w:val="24292E"/>
          <w:sz w:val="24"/>
          <w:szCs w:val="24"/>
        </w:rPr>
        <w:t>is</w:t>
      </w:r>
      <w:proofErr w:type="gramEnd"/>
      <w:r w:rsidR="000D12C5">
        <w:rPr>
          <w:rFonts w:ascii="Segoe UI" w:eastAsia="Times New Roman" w:hAnsi="Segoe UI" w:cs="Segoe UI"/>
          <w:color w:val="24292E"/>
          <w:sz w:val="24"/>
          <w:szCs w:val="24"/>
        </w:rPr>
        <w:t xml:space="preserve"> a very good sample size, that still leaves over 26,000 campaigns unaccounted for. A complete census of the over 30,000 campaigns would give us the most accurate picture to analyze.  </w:t>
      </w:r>
    </w:p>
    <w:p w14:paraId="5855D12D" w14:textId="77777777" w:rsidR="00933E55" w:rsidRPr="00933E55" w:rsidRDefault="00933E55" w:rsidP="00933E55">
      <w:pPr>
        <w:spacing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401136A" w14:textId="02E88C27" w:rsidR="00933E55" w:rsidRDefault="00933E55" w:rsidP="00933E55">
      <w:pPr>
        <w:numPr>
          <w:ilvl w:val="0"/>
          <w:numId w:val="1"/>
        </w:numPr>
        <w:spacing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33E55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2E555FDA" w14:textId="56DFFDF1" w:rsidR="00933E55" w:rsidRDefault="000D12C5" w:rsidP="00933E55">
      <w:pPr>
        <w:spacing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To help give an analysis on </w:t>
      </w:r>
      <w:r w:rsidR="006740B0">
        <w:rPr>
          <w:rFonts w:ascii="Segoe UI" w:eastAsia="Times New Roman" w:hAnsi="Segoe UI" w:cs="Segoe UI"/>
          <w:color w:val="24292E"/>
          <w:sz w:val="24"/>
          <w:szCs w:val="24"/>
        </w:rPr>
        <w:t xml:space="preserve">the affect of the size of donations, we should create a line chart that shows the average donations of successful campaigns on </w:t>
      </w:r>
      <w:proofErr w:type="gramStart"/>
      <w:r w:rsidR="006740B0">
        <w:rPr>
          <w:rFonts w:ascii="Segoe UI" w:eastAsia="Times New Roman" w:hAnsi="Segoe UI" w:cs="Segoe UI"/>
          <w:color w:val="24292E"/>
          <w:sz w:val="24"/>
          <w:szCs w:val="24"/>
        </w:rPr>
        <w:t>one line</w:t>
      </w:r>
      <w:proofErr w:type="gramEnd"/>
      <w:r w:rsidR="006740B0">
        <w:rPr>
          <w:rFonts w:ascii="Segoe UI" w:eastAsia="Times New Roman" w:hAnsi="Segoe UI" w:cs="Segoe UI"/>
          <w:color w:val="24292E"/>
          <w:sz w:val="24"/>
          <w:szCs w:val="24"/>
        </w:rPr>
        <w:t xml:space="preserve">, failed campaigns on another, and canceled campaigns on another. There may be a correlation between higher average donations and success. </w:t>
      </w:r>
    </w:p>
    <w:p w14:paraId="6A1DF777" w14:textId="50B33F64" w:rsidR="006740B0" w:rsidRPr="00933E55" w:rsidRDefault="006740B0" w:rsidP="00933E55">
      <w:pPr>
        <w:spacing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comparison between the goal and success of the campaign could also be helpful. Another line graph could be used here showing the monetary goal of successful, failed, and canceled campaigns.</w:t>
      </w:r>
      <w:bookmarkStart w:id="0" w:name="_GoBack"/>
      <w:bookmarkEnd w:id="0"/>
    </w:p>
    <w:p w14:paraId="58527CC2" w14:textId="77777777" w:rsidR="00054912" w:rsidRDefault="00054912" w:rsidP="00933E55">
      <w:pPr>
        <w:spacing w:line="276" w:lineRule="auto"/>
      </w:pPr>
    </w:p>
    <w:sectPr w:rsidR="00054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409E"/>
    <w:multiLevelType w:val="multilevel"/>
    <w:tmpl w:val="51A8E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55"/>
    <w:rsid w:val="0001200C"/>
    <w:rsid w:val="00054912"/>
    <w:rsid w:val="000D12C5"/>
    <w:rsid w:val="0013462C"/>
    <w:rsid w:val="002546C8"/>
    <w:rsid w:val="00321A6E"/>
    <w:rsid w:val="003D48CB"/>
    <w:rsid w:val="00503211"/>
    <w:rsid w:val="0056478A"/>
    <w:rsid w:val="006740B0"/>
    <w:rsid w:val="006E40B6"/>
    <w:rsid w:val="007826EA"/>
    <w:rsid w:val="007F760B"/>
    <w:rsid w:val="00933E55"/>
    <w:rsid w:val="00B34FF4"/>
    <w:rsid w:val="00DE6638"/>
    <w:rsid w:val="00EF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C6B1"/>
  <w15:chartTrackingRefBased/>
  <w15:docId w15:val="{14B33C85-D499-4F7F-A200-6AFF0541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5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Marquardt</dc:creator>
  <cp:keywords/>
  <dc:description/>
  <cp:lastModifiedBy>Sarah Marquardt</cp:lastModifiedBy>
  <cp:revision>2</cp:revision>
  <dcterms:created xsi:type="dcterms:W3CDTF">2018-10-27T23:59:00Z</dcterms:created>
  <dcterms:modified xsi:type="dcterms:W3CDTF">2018-10-27T23:59:00Z</dcterms:modified>
</cp:coreProperties>
</file>