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18"/>
        </w:rPr>
      </w:pPr>
      <w:r>
        <w:rPr>
          <w:rFonts w:ascii="JQLSDL+MicrosoftYaHei" w:hAnsi="JQLSDL+MicrosoftYaHei" w:cs="JQLSDL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QRVA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体检日期</w:t>
      </w:r>
      <w:r>
        <w:rPr>
          <w:rFonts w:ascii="KQRVAL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姓名</w:t>
      </w:r>
      <w:r>
        <w:rPr>
          <w:rFonts w:ascii="KQRVAL+MicrosoftYaHei"/>
          <w:color w:val="000000"/>
          <w:spacing w:val="0"/>
          <w:sz w:val="22"/>
        </w:rPr>
        <w:t xml:space="preserve">:  </w:t>
      </w:r>
      <w:r>
        <w:rPr>
          <w:rFonts w:ascii="JQLSDL+MicrosoftYaHei" w:hAnsi="JQLSDL+MicrosoftYaHei" w:cs="JQLSDL+MicrosoftYaHei"/>
          <w:color w:val="000000"/>
          <w:spacing w:val="0"/>
          <w:sz w:val="22"/>
        </w:rPr>
        <w:t>梁勇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QRVA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卡号</w:t>
      </w:r>
      <w:r>
        <w:rPr>
          <w:rFonts w:ascii="KQRVAL+MicrosoftYaHei"/>
          <w:color w:val="000000"/>
          <w:spacing w:val="0"/>
          <w:sz w:val="22"/>
        </w:rPr>
        <w:t xml:space="preserve">:  </w:t>
      </w:r>
      <w:r>
        <w:rPr>
          <w:rFonts w:ascii="KQRVAL+MicrosoftYaHei"/>
          <w:color w:val="000000"/>
          <w:spacing w:val="0"/>
          <w:sz w:val="22"/>
        </w:rPr>
        <w:t>16013618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性别</w:t>
      </w:r>
      <w:r>
        <w:rPr>
          <w:rFonts w:ascii="KQRVAL+MicrosoftYaHei"/>
          <w:color w:val="000000"/>
          <w:spacing w:val="0"/>
          <w:sz w:val="22"/>
        </w:rPr>
        <w:t xml:space="preserve">: </w:t>
      </w:r>
      <w:r>
        <w:rPr>
          <w:rFonts w:ascii="JQLSDL+MicrosoftYaHei" w:hAnsi="JQLSDL+MicrosoftYaHei" w:cs="JQLSDL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单位</w:t>
      </w:r>
      <w:r>
        <w:rPr>
          <w:rFonts w:ascii="KQRVAL+MicrosoftYaHei"/>
          <w:color w:val="000000"/>
          <w:spacing w:val="0"/>
          <w:sz w:val="22"/>
        </w:rPr>
        <w:t xml:space="preserve">:  </w:t>
      </w:r>
      <w:r>
        <w:rPr>
          <w:rFonts w:ascii="JQLSDL+MicrosoftYaHei" w:hAnsi="JQLSDL+MicrosoftYaHei" w:cs="JQLSDL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KQRVA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部门</w:t>
      </w:r>
      <w:r>
        <w:rPr>
          <w:rFonts w:ascii="KQRVAL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QRVA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联系方式</w:t>
      </w:r>
      <w:r>
        <w:rPr>
          <w:rFonts w:ascii="KQRVAL+MicrosoftYaHei"/>
          <w:color w:val="000000"/>
          <w:spacing w:val="0"/>
          <w:sz w:val="22"/>
        </w:rPr>
        <w:t>:  136****0980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QRVAL+MicrosoftYaHei"/>
          <w:color w:val="000000"/>
          <w:spacing w:val="0"/>
          <w:sz w:val="22"/>
        </w:rPr>
      </w:pPr>
      <w:r>
        <w:rPr>
          <w:rFonts w:ascii="JQLSDL+MicrosoftYaHei" w:hAnsi="JQLSDL+MicrosoftYaHei" w:cs="JQLSDL+MicrosoftYaHei"/>
          <w:color w:val="000000"/>
          <w:spacing w:val="0"/>
          <w:sz w:val="22"/>
        </w:rPr>
        <w:t>身份证号</w:t>
      </w:r>
      <w:r>
        <w:rPr>
          <w:rFonts w:ascii="KQRVAL+MicrosoftYaHei"/>
          <w:color w:val="000000"/>
          <w:spacing w:val="0"/>
          <w:sz w:val="22"/>
        </w:rPr>
        <w:t>: 110102********0113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28"/>
        </w:rPr>
      </w:pPr>
      <w:r>
        <w:rPr>
          <w:rFonts w:ascii="JQLSDL+MicrosoftYaHei" w:hAnsi="JQLSDL+MicrosoftYaHei" w:cs="JQLSDL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QLSDL+MicrosoftYaHei" w:hAnsi="JQLSDL+MicrosoftYaHei" w:cs="JQLSDL+MicrosoftYaHei"/>
          <w:color w:val="000000"/>
          <w:spacing w:val="0"/>
          <w:sz w:val="28"/>
        </w:rPr>
      </w:pPr>
      <w:r>
        <w:rPr>
          <w:rFonts w:ascii="JQLSDL+MicrosoftYaHei" w:hAnsi="JQLSDL+MicrosoftYaHei" w:cs="JQLSDL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尊敬的梁勇先生：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NEOWM+Wingdings-Regular" w:hAnsi="ANEOWM+Wingdings-Regular" w:cs="ANEOWM+Wingdings-Regular"/>
          <w:color w:val="000000"/>
          <w:spacing w:val="0"/>
          <w:sz w:val="23"/>
        </w:rPr>
      </w:pPr>
      <w:r>
        <w:rPr>
          <w:rFonts w:ascii="ANEOWM+Wingdings-Regular" w:hAnsi="ANEOWM+Wingdings-Regular" w:cs="ANEOWM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ANEOWM+Wingdings-Regular" w:hAnsi="ANEOWM+Wingdings-Regular" w:cs="ANEOWM+Wingdings-Regular"/>
          <w:color w:val="000000"/>
          <w:spacing w:val="0"/>
          <w:sz w:val="23"/>
        </w:rPr>
      </w:pPr>
      <w:r>
        <w:rPr>
          <w:rFonts w:ascii="ANEOWM+Wingdings-Regular" w:hAnsi="ANEOWM+Wingdings-Regular" w:cs="ANEOWM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ANEOWM+Wingdings-Regular" w:hAnsi="ANEOWM+Wingdings-Regular" w:cs="ANEOWM+Wingdings-Regular"/>
          <w:color w:val="000000"/>
          <w:spacing w:val="0"/>
          <w:sz w:val="23"/>
        </w:rPr>
      </w:pPr>
      <w:r>
        <w:rPr>
          <w:rFonts w:ascii="ANEOWM+Wingdings-Regular" w:hAnsi="ANEOWM+Wingdings-Regular" w:cs="ANEOWM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NEOWM+Wingdings-Regular" w:hAnsi="ANEOWM+Wingdings-Regular" w:cs="ANEOWM+Wingdings-Regular"/>
          <w:color w:val="000000"/>
          <w:spacing w:val="0"/>
          <w:sz w:val="23"/>
        </w:rPr>
      </w:pPr>
      <w:r>
        <w:rPr>
          <w:rFonts w:ascii="ANEOWM+Wingdings-Regular" w:hAnsi="ANEOWM+Wingdings-Regular" w:cs="ANEOWM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梁勇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60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39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(2.49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(3.87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</w:p>
    <w:p>
      <w:pPr>
        <w:pStyle w:val="Normal"/>
        <w:framePr w:w="10408" w:x="1440" w:y="5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</w:p>
    <w:p>
      <w:pPr>
        <w:pStyle w:val="Normal"/>
        <w:framePr w:w="10408" w:x="1440" w:y="598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2124" w:x="1190" w:y="66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9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69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76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9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9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602" w:x="1190" w:y="85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2" w:x="1190" w:y="858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5491" w:x="1190" w:y="9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激素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(4.45 mIU/L)*</w:t>
      </w:r>
    </w:p>
    <w:p>
      <w:pPr>
        <w:pStyle w:val="Normal"/>
        <w:framePr w:w="5491" w:x="1190" w:y="9277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9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(507.3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3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103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03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03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15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221" w:x="1190" w:y="119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(110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3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胆道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11" w:x="1440" w:y="1233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23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568" w:x="1190" w:y="13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&lt;0.19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0568" w:x="1190" w:y="1326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389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(4.046 ng/ml)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/>
          <w:color w:val="000000"/>
          <w:spacing w:val="0"/>
          <w:sz w:val="22"/>
        </w:rPr>
        <w:t>PSA/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/>
          <w:color w:val="000000"/>
          <w:spacing w:val="0"/>
          <w:sz w:val="22"/>
        </w:rPr>
        <w:t>PSA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(0.14 )</w:t>
      </w:r>
    </w:p>
    <w:p>
      <w:pPr>
        <w:pStyle w:val="Normal"/>
        <w:framePr w:w="10405" w:x="1440" w:y="1389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殖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的其它疾病，及时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0405" w:x="1440" w:y="1389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74.0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74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447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207" w:x="1190" w:y="2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2123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275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41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416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7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584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53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11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4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6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9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9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93.2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27.99,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0.94,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0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33.5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1.1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1381.50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6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1810" w:x="9480" w:y="14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68.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5.9pt;z-index:-211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47.7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5.3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24.9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2.5pt;z-index:-22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22.6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60.05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DOB:40.30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96.3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35.7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73.1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096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</w:p>
    <w:p>
      <w:pPr>
        <w:pStyle w:val="Normal"/>
        <w:framePr w:w="992" w:x="2066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36mm,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6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9mmx6mm,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</w:t>
      </w:r>
    </w:p>
    <w:p>
      <w:pPr>
        <w:pStyle w:val="Normal"/>
        <w:framePr w:w="7745" w:x="4150" w:y="1096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流环绕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765" w:x="4150" w:y="11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7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背侧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质边</w:t>
      </w:r>
      <w:r>
        <w:rPr>
          <w:rFonts w:ascii="FangSong" w:hAnsi="FangSong" w:cs="FangSong"/>
          <w:color w:val="000000"/>
          <w:spacing w:val="0"/>
          <w:sz w:val="22"/>
        </w:rPr>
        <w:t>缘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欠清晰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7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22mmx21mm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包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略隆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17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1765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5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5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35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3555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04.9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7.67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4.75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4.84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88.8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30.6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507.3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2.49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5.89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1.17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3.87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110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14.81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4.046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0.578</w:t>
      </w:r>
    </w:p>
    <w:p>
      <w:pPr>
        <w:pStyle w:val="Normal"/>
        <w:framePr w:w="499" w:x="6398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0.14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2.56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11.98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QLSDL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fb63a75-0000-0000-0000-000000000000}"/>
  </w:font>
  <w:font w:name="KQRVAL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52df60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NEOW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beb315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3104</Words>
  <Characters>6457</Characters>
  <Application>Aspose</Application>
  <DocSecurity>0</DocSecurity>
  <Lines>838</Lines>
  <Paragraphs>838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2020-01-10T16:43:28+08:00</dcterms:created>
  <dcterms:modified xmlns:xsi="http://www.w3.org/2001/XMLSchema-instance" xmlns:dcterms="http://purl.org/dc/terms/" xsi:type="dcterms:W3CDTF">2020-01-10T16:43:28+08:00</dcterms:modified>
</coreProperties>
</file>