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RSEKFG+MicrosoftYaHei" w:hAnsi="RSEKFG+MicrosoftYaHei" w:cs="RSEKFG+MicrosoftYaHei"/>
          <w:color w:val="000000"/>
          <w:spacing w:val="0"/>
          <w:sz w:val="18"/>
        </w:rPr>
      </w:pPr>
      <w:r>
        <w:rPr>
          <w:rFonts w:ascii="RSEKFG+MicrosoftYaHei" w:hAnsi="RSEKFG+MicrosoftYaHei" w:cs="RSEKFG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KIGKW+MicrosoftYaHei"/>
          <w:color w:val="000000"/>
          <w:spacing w:val="0"/>
          <w:sz w:val="22"/>
        </w:rPr>
      </w:pPr>
      <w:r>
        <w:rPr>
          <w:rFonts w:ascii="RSEKFG+MicrosoftYaHei" w:hAnsi="RSEKFG+MicrosoftYaHei" w:cs="RSEKFG+MicrosoftYaHei"/>
          <w:color w:val="000000"/>
          <w:spacing w:val="0"/>
          <w:sz w:val="22"/>
        </w:rPr>
        <w:t>体检日期</w:t>
      </w:r>
      <w:r>
        <w:rPr>
          <w:rFonts w:ascii="OKIGKW+MicrosoftYaHei"/>
          <w:color w:val="000000"/>
          <w:spacing w:val="0"/>
          <w:sz w:val="22"/>
        </w:rPr>
        <w:t>:  2018-02-26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RSEKFG+MicrosoftYaHei" w:hAnsi="RSEKFG+MicrosoftYaHei" w:cs="RSEKFG+MicrosoftYaHei"/>
          <w:color w:val="000000"/>
          <w:spacing w:val="0"/>
          <w:sz w:val="22"/>
        </w:rPr>
      </w:pPr>
      <w:r>
        <w:rPr>
          <w:rFonts w:ascii="RSEKFG+MicrosoftYaHei" w:hAnsi="RSEKFG+MicrosoftYaHei" w:cs="RSEKFG+MicrosoftYaHei"/>
          <w:color w:val="000000"/>
          <w:spacing w:val="0"/>
          <w:sz w:val="22"/>
        </w:rPr>
        <w:t>姓名</w:t>
      </w:r>
      <w:r>
        <w:rPr>
          <w:rFonts w:ascii="OKIGKW+MicrosoftYaHei"/>
          <w:color w:val="000000"/>
          <w:spacing w:val="0"/>
          <w:sz w:val="22"/>
        </w:rPr>
        <w:t xml:space="preserve">:  </w:t>
      </w:r>
      <w:r>
        <w:rPr>
          <w:rFonts w:ascii="RSEKFG+MicrosoftYaHei" w:hAnsi="RSEKFG+MicrosoftYaHei" w:cs="RSEKFG+MicrosoftYaHei"/>
          <w:color w:val="000000"/>
          <w:spacing w:val="0"/>
          <w:sz w:val="22"/>
        </w:rPr>
        <w:t>陈锐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KIGKW+MicrosoftYaHei"/>
          <w:color w:val="000000"/>
          <w:spacing w:val="0"/>
          <w:sz w:val="22"/>
        </w:rPr>
      </w:pPr>
      <w:r>
        <w:rPr>
          <w:rFonts w:ascii="RSEKFG+MicrosoftYaHei" w:hAnsi="RSEKFG+MicrosoftYaHei" w:cs="RSEKFG+MicrosoftYaHei"/>
          <w:color w:val="000000"/>
          <w:spacing w:val="0"/>
          <w:sz w:val="22"/>
        </w:rPr>
        <w:t>卡号</w:t>
      </w:r>
      <w:r>
        <w:rPr>
          <w:rFonts w:ascii="OKIGKW+MicrosoftYaHei"/>
          <w:color w:val="000000"/>
          <w:spacing w:val="0"/>
          <w:sz w:val="22"/>
        </w:rPr>
        <w:t xml:space="preserve">:  </w:t>
      </w:r>
      <w:r>
        <w:rPr>
          <w:rFonts w:ascii="OKIGKW+MicrosoftYaHei"/>
          <w:color w:val="000000"/>
          <w:spacing w:val="0"/>
          <w:sz w:val="22"/>
        </w:rPr>
        <w:t>16012938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SEKFG+MicrosoftYaHei" w:hAnsi="RSEKFG+MicrosoftYaHei" w:cs="RSEKFG+MicrosoftYaHei"/>
          <w:color w:val="000000"/>
          <w:spacing w:val="0"/>
          <w:sz w:val="22"/>
        </w:rPr>
      </w:pPr>
      <w:r>
        <w:rPr>
          <w:rFonts w:ascii="RSEKFG+MicrosoftYaHei" w:hAnsi="RSEKFG+MicrosoftYaHei" w:cs="RSEKFG+MicrosoftYaHei"/>
          <w:color w:val="000000"/>
          <w:spacing w:val="0"/>
          <w:sz w:val="22"/>
        </w:rPr>
        <w:t>性别</w:t>
      </w:r>
      <w:r>
        <w:rPr>
          <w:rFonts w:ascii="OKIGKW+MicrosoftYaHei"/>
          <w:color w:val="000000"/>
          <w:spacing w:val="0"/>
          <w:sz w:val="22"/>
        </w:rPr>
        <w:t xml:space="preserve">: </w:t>
      </w:r>
      <w:r>
        <w:rPr>
          <w:rFonts w:ascii="RSEKFG+MicrosoftYaHei" w:hAnsi="RSEKFG+MicrosoftYaHei" w:cs="RSEKFG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SEKFG+MicrosoftYaHei" w:hAnsi="RSEKFG+MicrosoftYaHei" w:cs="RSEKFG+MicrosoftYaHei"/>
          <w:color w:val="000000"/>
          <w:spacing w:val="0"/>
          <w:sz w:val="22"/>
        </w:rPr>
      </w:pPr>
      <w:r>
        <w:rPr>
          <w:rFonts w:ascii="RSEKFG+MicrosoftYaHei" w:hAnsi="RSEKFG+MicrosoftYaHei" w:cs="RSEKFG+MicrosoftYaHei"/>
          <w:color w:val="000000"/>
          <w:spacing w:val="0"/>
          <w:sz w:val="22"/>
        </w:rPr>
        <w:t>单位</w:t>
      </w:r>
      <w:r>
        <w:rPr>
          <w:rFonts w:ascii="OKIGKW+MicrosoftYaHei"/>
          <w:color w:val="000000"/>
          <w:spacing w:val="0"/>
          <w:sz w:val="22"/>
        </w:rPr>
        <w:t xml:space="preserve">:  </w:t>
      </w:r>
      <w:r>
        <w:rPr>
          <w:rFonts w:ascii="RSEKFG+MicrosoftYaHei" w:hAnsi="RSEKFG+MicrosoftYaHei" w:cs="RSEKFG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KIGKW+MicrosoftYaHei"/>
          <w:color w:val="000000"/>
          <w:spacing w:val="0"/>
          <w:sz w:val="22"/>
        </w:rPr>
      </w:pPr>
      <w:r>
        <w:rPr>
          <w:rFonts w:ascii="RSEKFG+MicrosoftYaHei" w:hAnsi="RSEKFG+MicrosoftYaHei" w:cs="RSEKFG+MicrosoftYaHei"/>
          <w:color w:val="000000"/>
          <w:spacing w:val="0"/>
          <w:sz w:val="22"/>
        </w:rPr>
        <w:t>部门</w:t>
      </w:r>
      <w:r>
        <w:rPr>
          <w:rFonts w:ascii="OKIGKW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KIGKW+MicrosoftYaHei"/>
          <w:color w:val="000000"/>
          <w:spacing w:val="0"/>
          <w:sz w:val="22"/>
        </w:rPr>
      </w:pPr>
      <w:r>
        <w:rPr>
          <w:rFonts w:ascii="RSEKFG+MicrosoftYaHei" w:hAnsi="RSEKFG+MicrosoftYaHei" w:cs="RSEKFG+MicrosoftYaHei"/>
          <w:color w:val="000000"/>
          <w:spacing w:val="0"/>
          <w:sz w:val="22"/>
        </w:rPr>
        <w:t>联系方式</w:t>
      </w:r>
      <w:r>
        <w:rPr>
          <w:rFonts w:ascii="OKIGKW+MicrosoftYaHei"/>
          <w:color w:val="000000"/>
          <w:spacing w:val="0"/>
          <w:sz w:val="22"/>
        </w:rPr>
        <w:t>:  135****9990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KIGKW+MicrosoftYaHei"/>
          <w:color w:val="000000"/>
          <w:spacing w:val="0"/>
          <w:sz w:val="22"/>
        </w:rPr>
      </w:pPr>
      <w:r>
        <w:rPr>
          <w:rFonts w:ascii="RSEKFG+MicrosoftYaHei" w:hAnsi="RSEKFG+MicrosoftYaHei" w:cs="RSEKFG+MicrosoftYaHei"/>
          <w:color w:val="000000"/>
          <w:spacing w:val="0"/>
          <w:sz w:val="22"/>
        </w:rPr>
        <w:t>身份证号</w:t>
      </w:r>
      <w:r>
        <w:rPr>
          <w:rFonts w:ascii="OKIGKW+MicrosoftYaHei"/>
          <w:color w:val="000000"/>
          <w:spacing w:val="0"/>
          <w:sz w:val="22"/>
        </w:rPr>
        <w:t>: 450521********3956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RSEKFG+MicrosoftYaHei" w:hAnsi="RSEKFG+MicrosoftYaHei" w:cs="RSEKFG+MicrosoftYaHei"/>
          <w:color w:val="000000"/>
          <w:spacing w:val="0"/>
          <w:sz w:val="28"/>
        </w:rPr>
      </w:pPr>
      <w:r>
        <w:rPr>
          <w:rFonts w:ascii="RSEKFG+MicrosoftYaHei" w:hAnsi="RSEKFG+MicrosoftYaHei" w:cs="RSEKFG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RSEKFG+MicrosoftYaHei" w:hAnsi="RSEKFG+MicrosoftYaHei" w:cs="RSEKFG+MicrosoftYaHei"/>
          <w:color w:val="000000"/>
          <w:spacing w:val="0"/>
          <w:sz w:val="28"/>
        </w:rPr>
      </w:pPr>
      <w:r>
        <w:rPr>
          <w:rFonts w:ascii="RSEKFG+MicrosoftYaHei" w:hAnsi="RSEKFG+MicrosoftYaHei" w:cs="RSEKFG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尊敬的陈锐先生：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JAWJNL+Wingdings-Regular" w:hAnsi="JAWJNL+Wingdings-Regular" w:cs="JAWJNL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JAWJNL+Wingdings-Regular" w:hAnsi="JAWJNL+Wingdings-Regular" w:cs="JAWJNL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JAWJNL+Wingdings-Regular" w:hAnsi="JAWJNL+Wingdings-Regular" w:cs="JAWJNL+Wingdings-Regular"/>
          <w:color w:val="000000"/>
          <w:spacing w:val="0"/>
          <w:sz w:val="23"/>
        </w:rPr>
      </w:pPr>
      <w:r>
        <w:rPr>
          <w:rFonts w:ascii="JAWJNL+Wingdings-Regular" w:hAnsi="JAWJNL+Wingdings-Regular" w:cs="JAWJNL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陈锐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663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(2.52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(5.28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(0.9 mmol/L)</w:t>
      </w:r>
    </w:p>
    <w:p>
      <w:pPr>
        <w:pStyle w:val="Normal"/>
        <w:framePr w:w="10535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535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475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自身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况</w:t>
      </w:r>
      <w:r>
        <w:rPr>
          <w:rFonts w:ascii="FangSong" w:hAnsi="FangSong" w:cs="FangSong"/>
          <w:color w:val="000000"/>
          <w:spacing w:val="0"/>
          <w:sz w:val="22"/>
        </w:rPr>
        <w:t>适当增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热量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要时在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疗以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体重。</w:t>
      </w:r>
    </w:p>
    <w:p>
      <w:pPr>
        <w:pStyle w:val="Normal"/>
        <w:framePr w:w="2124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而波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03" w:x="1190" w:y="7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残</w:t>
      </w:r>
      <w:r>
        <w:rPr>
          <w:rFonts w:ascii="FangSong" w:hAnsi="FangSong" w:cs="FangSong"/>
          <w:color w:val="000000"/>
          <w:spacing w:val="0"/>
          <w:sz w:val="22"/>
        </w:rPr>
        <w:t>根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650" w:x="1440" w:y="736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7715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8" w:x="1190" w:y="84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(457.8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87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87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87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87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0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104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7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过度饮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活动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07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止跌倒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8407" w:x="119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比值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(0.18 )[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11399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1139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降低癌</w:t>
      </w:r>
      <w:r>
        <w:rPr>
          <w:rFonts w:ascii="FangSong" w:hAnsi="FangSong" w:cs="FangSong"/>
          <w:color w:val="000000"/>
          <w:spacing w:val="0"/>
          <w:sz w:val="22"/>
        </w:rPr>
        <w:t>变风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124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5237" w:x="1190" w:y="130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134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3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1682" w:x="1190" w:y="140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3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1439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疼</w:t>
      </w:r>
      <w:r>
        <w:rPr>
          <w:rFonts w:ascii="FangSong" w:hAnsi="FangSong" w:cs="FangSong"/>
          <w:color w:val="000000"/>
          <w:spacing w:val="0"/>
          <w:sz w:val="22"/>
        </w:rPr>
        <w:t>痛等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96.05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96.0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2124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3" w:x="1440" w:y="149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207" w:x="1190" w:y="18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1837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24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08" w:x="1440" w:y="247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38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387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451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:2018-02-28</w:t>
      </w:r>
    </w:p>
    <w:p>
      <w:pPr>
        <w:pStyle w:val="Normal"/>
        <w:framePr w:w="1558" w:x="5292" w:y="556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6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6251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682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711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740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76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76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78.9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179cm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95.5Kg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29.81,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0.87,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143mmHg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0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701" w:x="91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53.4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40.0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7.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406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6" w:x="2210" w:y="85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5</w:t>
      </w: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根。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</w:t>
      </w:r>
      <w:r>
        <w:rPr>
          <w:rFonts w:ascii="FangSong" w:hAnsi="FangSong" w:cs="FangSong"/>
          <w:color w:val="000000"/>
          <w:spacing w:val="0"/>
          <w:sz w:val="20"/>
        </w:rPr>
        <w:t>莲</w:t>
      </w:r>
    </w:p>
    <w:p>
      <w:pPr>
        <w:pStyle w:val="Normal"/>
        <w:framePr w:w="1104" w:x="1450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902" w:x="1450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02" w:x="929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134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134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709" w:x="221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-2.28,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1367.08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803" w:x="2210" w:y="138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-2.24</w:t>
      </w:r>
    </w:p>
    <w:p>
      <w:pPr>
        <w:pStyle w:val="Normal"/>
        <w:framePr w:w="1810" w:x="9480" w:y="14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68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5.9pt;z-index:-215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54.1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91.7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31.4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68.85pt;z-index:-231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28.95pt;z-index:-23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66.5pt;z-index:-23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DOB:9.70</w:t>
      </w:r>
    </w:p>
    <w:p>
      <w:pPr>
        <w:pStyle w:val="Normal"/>
        <w:framePr w:w="1507" w:x="9682" w:y="2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2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3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96.3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35.7pt;z-index:-25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173.1pt;z-index:-263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凸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10mm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9mm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7618" w:x="4150" w:y="97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5mmx3mm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形态欠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25.8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89.7pt;margin-top:146pt;z-index:-323;width:224.7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4pt;margin-top:54.15pt;z-index:-33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3.65pt;margin-top:28.95pt;z-index:-33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9.3pt;margin-top:102.05pt;z-index:-34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5.5pt;margin-top:525.05pt;z-index:-34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9.3pt;margin-top:29.95pt;z-index:-35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.15pt;margin-top:77.25pt;z-index:-35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：陈锐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7.9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166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0.504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329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499" w:x="6398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9.3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9.9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1.017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160.7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174.45pt;z-index:-37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：陈锐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131802260012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奕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3.23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457.8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5.95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5.25</w:t>
      </w:r>
    </w:p>
    <w:p>
      <w:pPr>
        <w:pStyle w:val="Normal"/>
        <w:framePr w:w="702" w:x="5150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2.41</w:t>
      </w:r>
    </w:p>
    <w:p>
      <w:pPr>
        <w:pStyle w:val="Normal"/>
        <w:framePr w:w="702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2.085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10.6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11.56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0.376</w:t>
      </w:r>
    </w:p>
    <w:p>
      <w:pPr>
        <w:pStyle w:val="Normal"/>
        <w:framePr w:w="1811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702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4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0.18</w:t>
      </w:r>
    </w:p>
    <w:p>
      <w:pPr>
        <w:pStyle w:val="Normal"/>
        <w:framePr w:w="499" w:x="6398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1.54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4.22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13.95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282.3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296pt;z-index:-39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516.8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530.5pt;z-index:-407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RSEKFG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7074e69-0000-0000-0000-000000000000}"/>
  </w:font>
  <w:font w:name="OKIGKW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be610fa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JAWJNL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adf392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styles" Target="styles.xml" /><Relationship Id="rId106" Type="http://schemas.openxmlformats.org/officeDocument/2006/relationships/fontTable" Target="fontTable.xml" /><Relationship Id="rId107" Type="http://schemas.openxmlformats.org/officeDocument/2006/relationships/settings" Target="settings.xml" /><Relationship Id="rId108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3013</Words>
  <Characters>6233</Characters>
  <Application>Aspose</Application>
  <DocSecurity>0</DocSecurity>
  <Lines>818</Lines>
  <Paragraphs>818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6617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2020-01-10T16:43:44+08:00</dcterms:created>
  <dcterms:modified xmlns:xsi="http://www.w3.org/2001/XMLSchema-instance" xmlns:dcterms="http://purl.org/dc/terms/" xsi:type="dcterms:W3CDTF">2020-01-10T16:43:44+08:00</dcterms:modified>
</coreProperties>
</file>