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DGJEFH+MicrosoftYaHei" w:hAnsi="DGJEFH+MicrosoftYaHei" w:cs="DGJEFH+MicrosoftYaHei"/>
          <w:color w:val="000000"/>
          <w:spacing w:val="0"/>
          <w:sz w:val="18"/>
        </w:rPr>
      </w:pPr>
      <w:r>
        <w:rPr>
          <w:rFonts w:ascii="DGJEFH+MicrosoftYaHei" w:hAnsi="DGJEFH+MicrosoftYaHei" w:cs="DGJEF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QRKJ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体检日期</w:t>
      </w:r>
      <w:r>
        <w:rPr>
          <w:rFonts w:ascii="LLQRKJ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DGJEFH+MicrosoftYaHei" w:hAnsi="DGJEFH+MicrosoftYaHei" w:cs="DGJEFH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姓名</w:t>
      </w:r>
      <w:r>
        <w:rPr>
          <w:rFonts w:ascii="LLQRKJ+MicrosoftYaHei"/>
          <w:color w:val="000000"/>
          <w:spacing w:val="0"/>
          <w:sz w:val="22"/>
        </w:rPr>
        <w:t xml:space="preserve">:  </w:t>
      </w:r>
      <w:r>
        <w:rPr>
          <w:rFonts w:ascii="DGJEFH+MicrosoftYaHei" w:hAnsi="DGJEFH+MicrosoftYaHei" w:cs="DGJEFH+MicrosoftYaHei"/>
          <w:color w:val="000000"/>
          <w:spacing w:val="0"/>
          <w:sz w:val="22"/>
        </w:rPr>
        <w:t>黄剑生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QRKJ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卡号</w:t>
      </w:r>
      <w:r>
        <w:rPr>
          <w:rFonts w:ascii="LLQRKJ+MicrosoftYaHei"/>
          <w:color w:val="000000"/>
          <w:spacing w:val="0"/>
          <w:sz w:val="22"/>
        </w:rPr>
        <w:t xml:space="preserve">:  </w:t>
      </w:r>
      <w:r>
        <w:rPr>
          <w:rFonts w:ascii="LLQRKJ+MicrosoftYaHei"/>
          <w:color w:val="000000"/>
          <w:spacing w:val="0"/>
          <w:sz w:val="22"/>
        </w:rPr>
        <w:t>16012935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GJEFH+MicrosoftYaHei" w:hAnsi="DGJEFH+MicrosoftYaHei" w:cs="DGJEFH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性别</w:t>
      </w:r>
      <w:r>
        <w:rPr>
          <w:rFonts w:ascii="LLQRKJ+MicrosoftYaHei"/>
          <w:color w:val="000000"/>
          <w:spacing w:val="0"/>
          <w:sz w:val="22"/>
        </w:rPr>
        <w:t xml:space="preserve">: </w:t>
      </w:r>
      <w:r>
        <w:rPr>
          <w:rFonts w:ascii="DGJEFH+MicrosoftYaHei" w:hAnsi="DGJEFH+MicrosoftYaHei" w:cs="DGJEF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GJEFH+MicrosoftYaHei" w:hAnsi="DGJEFH+MicrosoftYaHei" w:cs="DGJEFH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单位</w:t>
      </w:r>
      <w:r>
        <w:rPr>
          <w:rFonts w:ascii="LLQRKJ+MicrosoftYaHei"/>
          <w:color w:val="000000"/>
          <w:spacing w:val="0"/>
          <w:sz w:val="22"/>
        </w:rPr>
        <w:t xml:space="preserve">:  </w:t>
      </w:r>
      <w:r>
        <w:rPr>
          <w:rFonts w:ascii="DGJEFH+MicrosoftYaHei" w:hAnsi="DGJEFH+MicrosoftYaHei" w:cs="DGJEF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LLQRKJ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部门</w:t>
      </w:r>
      <w:r>
        <w:rPr>
          <w:rFonts w:ascii="LLQRKJ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QRKJ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联系方式</w:t>
      </w:r>
      <w:r>
        <w:rPr>
          <w:rFonts w:ascii="LLQRKJ+MicrosoftYaHei"/>
          <w:color w:val="000000"/>
          <w:spacing w:val="0"/>
          <w:sz w:val="22"/>
        </w:rPr>
        <w:t>:  183****9139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LQRKJ+MicrosoftYaHei"/>
          <w:color w:val="000000"/>
          <w:spacing w:val="0"/>
          <w:sz w:val="22"/>
        </w:rPr>
      </w:pPr>
      <w:r>
        <w:rPr>
          <w:rFonts w:ascii="DGJEFH+MicrosoftYaHei" w:hAnsi="DGJEFH+MicrosoftYaHei" w:cs="DGJEFH+MicrosoftYaHei"/>
          <w:color w:val="000000"/>
          <w:spacing w:val="0"/>
          <w:sz w:val="22"/>
        </w:rPr>
        <w:t>身份证号</w:t>
      </w:r>
      <w:r>
        <w:rPr>
          <w:rFonts w:ascii="LLQRKJ+MicrosoftYaHei"/>
          <w:color w:val="000000"/>
          <w:spacing w:val="0"/>
          <w:sz w:val="22"/>
        </w:rPr>
        <w:t>: 460022********3277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GJEFH+MicrosoftYaHei" w:hAnsi="DGJEFH+MicrosoftYaHei" w:cs="DGJEFH+MicrosoftYaHei"/>
          <w:color w:val="000000"/>
          <w:spacing w:val="0"/>
          <w:sz w:val="28"/>
        </w:rPr>
      </w:pPr>
      <w:r>
        <w:rPr>
          <w:rFonts w:ascii="DGJEFH+MicrosoftYaHei" w:hAnsi="DGJEFH+MicrosoftYaHei" w:cs="DGJEF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GJEFH+MicrosoftYaHei" w:hAnsi="DGJEFH+MicrosoftYaHei" w:cs="DGJEFH+MicrosoftYaHei"/>
          <w:color w:val="000000"/>
          <w:spacing w:val="0"/>
          <w:sz w:val="28"/>
        </w:rPr>
      </w:pPr>
      <w:r>
        <w:rPr>
          <w:rFonts w:ascii="DGJEFH+MicrosoftYaHei" w:hAnsi="DGJEFH+MicrosoftYaHei" w:cs="DGJEF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尊敬的黄剑生先生：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QUBPJ+Wingdings-Regular" w:hAnsi="VQUBPJ+Wingdings-Regular" w:cs="VQUBPJ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VQUBPJ+Wingdings-Regular" w:hAnsi="VQUBPJ+Wingdings-Regular" w:cs="VQUBPJ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QUBPJ+Wingdings-Regular" w:hAnsi="VQUBPJ+Wingdings-Regular" w:cs="VQUBPJ+Wingdings-Regular"/>
          <w:color w:val="000000"/>
          <w:spacing w:val="0"/>
          <w:sz w:val="23"/>
        </w:rPr>
      </w:pPr>
      <w:r>
        <w:rPr>
          <w:rFonts w:ascii="VQUBPJ+Wingdings-Regular" w:hAnsi="VQUBPJ+Wingdings-Regular" w:cs="VQUBPJ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黄剑生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7900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(6.44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(4.74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(1.08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</w:p>
    <w:p>
      <w:pPr>
        <w:pStyle w:val="Normal"/>
        <w:framePr w:w="10408" w:x="1440" w:y="50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</w:p>
    <w:p>
      <w:pPr>
        <w:pStyle w:val="Normal"/>
        <w:framePr w:w="10408" w:x="1440" w:y="501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7266" w:x="1190" w:y="5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翼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胬肉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双眼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科其它</w:t>
      </w:r>
      <w:r>
        <w:rPr>
          <w:rFonts w:ascii="FangSong" w:hAnsi="FangSong" w:cs="FangSong"/>
          <w:color w:val="000000"/>
          <w:spacing w:val="0"/>
          <w:sz w:val="22"/>
        </w:rPr>
        <w:t>情况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左眼翼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胬肉侵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鼻侧角膜</w:t>
      </w:r>
      <w:r>
        <w:rPr>
          <w:rFonts w:ascii="FangSong"/>
          <w:color w:val="000000"/>
          <w:spacing w:val="0"/>
          <w:sz w:val="22"/>
        </w:rPr>
        <w:t>)*</w:t>
      </w:r>
    </w:p>
    <w:p>
      <w:pPr>
        <w:pStyle w:val="Normal"/>
        <w:framePr w:w="7266" w:x="1190" w:y="565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到医院专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41" w:x="1190" w:y="63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63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124" w:x="1190" w:y="70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73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73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587" w:x="1190" w:y="80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</w:t>
      </w:r>
      <w:r>
        <w:rPr>
          <w:rFonts w:ascii="FangSong" w:hAnsi="FangSong" w:cs="FangSong"/>
          <w:color w:val="000000"/>
          <w:spacing w:val="0"/>
          <w:sz w:val="22"/>
        </w:rPr>
        <w:t>前次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83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4602" w:x="1190" w:y="8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(386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296" w:x="1190" w:y="93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296" w:x="1190" w:y="934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(2+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(2-4 /HPF)[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0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8" w:x="1440" w:y="10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8" w:x="1440" w:y="1002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10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13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</w:t>
      </w:r>
      <w:r>
        <w:rPr>
          <w:rFonts w:ascii="FangSong" w:hAnsi="FangSong" w:cs="FangSong"/>
          <w:color w:val="000000"/>
          <w:spacing w:val="0"/>
          <w:sz w:val="22"/>
        </w:rPr>
        <w:t>害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1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8407" w:x="119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原比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(0.22 )[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2107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210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1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314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1682" w:x="1190" w:y="137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1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面</w:t>
      </w:r>
      <w:r>
        <w:rPr>
          <w:rFonts w:ascii="FangSong" w:hAnsi="FangSong" w:cs="FangSong"/>
          <w:color w:val="000000"/>
          <w:spacing w:val="0"/>
          <w:sz w:val="22"/>
        </w:rPr>
        <w:t>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41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147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151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80.1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80.1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825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149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1494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(0.65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218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204" w:x="1190" w:y="25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4" w:x="1190" w:y="253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1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31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4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457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52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62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9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945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5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8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809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8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83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13.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172.5cm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25.98,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11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翼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胬肉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双眼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1811" w:x="8050" w:y="132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双眼翼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胬肉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97" w:x="914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7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3707" w:x="8050" w:y="137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详</w:t>
      </w:r>
      <w:r>
        <w:rPr>
          <w:rFonts w:ascii="FangSong" w:hAnsi="FangSong" w:cs="FangSong"/>
          <w:color w:val="000000"/>
          <w:spacing w:val="0"/>
          <w:sz w:val="20"/>
        </w:rPr>
        <w:t>见眼</w:t>
      </w:r>
      <w:r>
        <w:rPr>
          <w:rFonts w:ascii="FangSong" w:hAnsi="FangSong" w:cs="FangSong"/>
          <w:color w:val="000000"/>
          <w:spacing w:val="0"/>
          <w:sz w:val="20"/>
        </w:rPr>
        <w:t>科其它</w:t>
      </w:r>
      <w:r>
        <w:rPr>
          <w:rFonts w:ascii="FangSong" w:hAnsi="FangSong" w:cs="FangSong"/>
          <w:color w:val="000000"/>
          <w:spacing w:val="0"/>
          <w:sz w:val="20"/>
        </w:rPr>
        <w:t>情况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707" w:x="8050" w:y="137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左眼翼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胬肉侵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鼻侧角膜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尖端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3707" w:x="8050" w:y="137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达瞳孔缘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306" w:x="914" w:y="14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矫正视</w:t>
      </w:r>
    </w:p>
    <w:p>
      <w:pPr>
        <w:pStyle w:val="Normal"/>
        <w:framePr w:w="1306" w:x="914" w:y="145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5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0.8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8.3pt;z-index:-183;width:507pt;height:53.1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305.5pt;margin-top:723.55pt;z-index:-187;width:1pt;height:25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矫正视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3591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科其它</w:t>
      </w:r>
      <w:r>
        <w:rPr>
          <w:rFonts w:ascii="FangSong" w:hAnsi="FangSong" w:cs="FangSong"/>
          <w:color w:val="000000"/>
          <w:spacing w:val="0"/>
          <w:sz w:val="20"/>
        </w:rPr>
        <w:t>情况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左眼翼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胬肉侵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鼻</w:t>
      </w:r>
    </w:p>
    <w:p>
      <w:pPr>
        <w:pStyle w:val="Normal"/>
        <w:framePr w:w="3591" w:x="2210" w:y="38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侧角膜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707" w:x="2210" w:y="4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左眼翼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胬肉侵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鼻侧角膜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尖端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3707" w:x="2210" w:y="430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达瞳孔缘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663" w:x="8674" w:y="4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3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6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61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61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61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6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61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6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9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37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3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3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37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3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37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7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7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7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8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51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51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51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51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8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92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9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92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92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2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104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104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4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44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4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4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8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8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8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8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6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643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21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44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44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44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4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44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8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9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9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9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9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9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9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-0.68,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1389.97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7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-0.67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96.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58.9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96.35pt;z-index:-207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3.7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41.3pt;z-index:-215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00.8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38.25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77.9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15.4pt;z-index:-231;width:507pt;height:4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5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DOB:5.00</w:t>
      </w:r>
    </w:p>
    <w:p>
      <w:pPr>
        <w:pStyle w:val="Normal"/>
        <w:framePr w:w="2198" w:x="914" w:y="3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4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9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6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8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88.4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25.85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53.1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92.45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29.9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10mmx8mm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745" w:x="4150" w:y="100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2" w:x="2066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8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063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4063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4063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24pt;margin-top:54.15pt;z-index:-31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3.65pt;margin-top:28.95pt;z-index:-31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9.3pt;margin-top:102.05pt;z-index:-32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5.5pt;margin-top:525.05pt;z-index:-32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9.3pt;margin-top:29.95pt;z-index:-33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32.15pt;margin-top:77.25pt;z-index:-33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：黄剑生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400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2.49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8.1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0.65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58.2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4.88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0.452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13.8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92.6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330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30.5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386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2-4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160.7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174.45pt;z-index:-35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：黄剑生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337.4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4.49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16.34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1.313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11.16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0.288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0.22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1.56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312.7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326.35pt;z-index:-37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547.1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560.85pt;z-index:-38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：黄剑生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9" style="position:absolute;margin-left:45.7pt;margin-top:29.95pt;z-index:-3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137.35pt;z-index:-40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GJEF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26a705e-0000-0000-0000-000000000000}"/>
  </w:font>
  <w:font w:name="LLQRKJ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7628bc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QUBP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12e782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3037</Words>
  <Characters>6332</Characters>
  <Application>Aspose</Application>
  <DocSecurity>0</DocSecurity>
  <Lines>820</Lines>
  <Paragraphs>820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2020-01-10T16:44:10+08:00</dcterms:created>
  <dcterms:modified xmlns:xsi="http://www.w3.org/2001/XMLSchema-instance" xmlns:dcterms="http://purl.org/dc/terms/" xsi:type="dcterms:W3CDTF">2020-01-10T16:44:10+08:00</dcterms:modified>
</coreProperties>
</file>