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18"/>
        </w:rPr>
      </w:pPr>
      <w:r>
        <w:rPr>
          <w:rFonts w:ascii="TJJLBH+MicrosoftYaHei" w:hAnsi="TJJLBH+MicrosoftYaHei" w:cs="TJJLBH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MRGLM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体检日期</w:t>
      </w:r>
      <w:r>
        <w:rPr>
          <w:rFonts w:ascii="MMRGLM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姓名</w:t>
      </w:r>
      <w:r>
        <w:rPr>
          <w:rFonts w:ascii="MMRGLM+MicrosoftYaHei"/>
          <w:color w:val="000000"/>
          <w:spacing w:val="0"/>
          <w:sz w:val="22"/>
        </w:rPr>
        <w:t xml:space="preserve">:  </w:t>
      </w:r>
      <w:r>
        <w:rPr>
          <w:rFonts w:ascii="TJJLBH+MicrosoftYaHei" w:hAnsi="TJJLBH+MicrosoftYaHei" w:cs="TJJLBH+MicrosoftYaHei"/>
          <w:color w:val="000000"/>
          <w:spacing w:val="0"/>
          <w:sz w:val="22"/>
        </w:rPr>
        <w:t>胡龙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MRGLM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卡号</w:t>
      </w:r>
      <w:r>
        <w:rPr>
          <w:rFonts w:ascii="MMRGLM+MicrosoftYaHei"/>
          <w:color w:val="000000"/>
          <w:spacing w:val="0"/>
          <w:sz w:val="22"/>
        </w:rPr>
        <w:t xml:space="preserve">:  </w:t>
      </w:r>
      <w:r>
        <w:rPr>
          <w:rFonts w:ascii="MMRGLM+MicrosoftYaHei"/>
          <w:color w:val="000000"/>
          <w:spacing w:val="0"/>
          <w:sz w:val="22"/>
        </w:rPr>
        <w:t>17088274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性别</w:t>
      </w:r>
      <w:r>
        <w:rPr>
          <w:rFonts w:ascii="MMRGLM+MicrosoftYaHei"/>
          <w:color w:val="000000"/>
          <w:spacing w:val="0"/>
          <w:sz w:val="22"/>
        </w:rPr>
        <w:t xml:space="preserve">: </w:t>
      </w:r>
      <w:r>
        <w:rPr>
          <w:rFonts w:ascii="TJJLBH+MicrosoftYaHei" w:hAnsi="TJJLBH+MicrosoftYaHei" w:cs="TJJLBH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单位</w:t>
      </w:r>
      <w:r>
        <w:rPr>
          <w:rFonts w:ascii="MMRGLM+MicrosoftYaHei"/>
          <w:color w:val="000000"/>
          <w:spacing w:val="0"/>
          <w:sz w:val="22"/>
        </w:rPr>
        <w:t xml:space="preserve">:  </w:t>
      </w:r>
      <w:r>
        <w:rPr>
          <w:rFonts w:ascii="TJJLBH+MicrosoftYaHei" w:hAnsi="TJJLBH+MicrosoftYaHei" w:cs="TJJLBH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MMRGLM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部门</w:t>
      </w:r>
      <w:r>
        <w:rPr>
          <w:rFonts w:ascii="MMRGLM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MRGLM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联系方式</w:t>
      </w:r>
      <w:r>
        <w:rPr>
          <w:rFonts w:ascii="MMRGLM+MicrosoftYaHei"/>
          <w:color w:val="000000"/>
          <w:spacing w:val="0"/>
          <w:sz w:val="22"/>
        </w:rPr>
        <w:t>:  151****1546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MMRGLM+MicrosoftYaHei"/>
          <w:color w:val="000000"/>
          <w:spacing w:val="0"/>
          <w:sz w:val="22"/>
        </w:rPr>
      </w:pPr>
      <w:r>
        <w:rPr>
          <w:rFonts w:ascii="TJJLBH+MicrosoftYaHei" w:hAnsi="TJJLBH+MicrosoftYaHei" w:cs="TJJLBH+MicrosoftYaHei"/>
          <w:color w:val="000000"/>
          <w:spacing w:val="0"/>
          <w:sz w:val="22"/>
        </w:rPr>
        <w:t>身份证号</w:t>
      </w:r>
      <w:r>
        <w:rPr>
          <w:rFonts w:ascii="MMRGLM+MicrosoftYaHei"/>
          <w:color w:val="000000"/>
          <w:spacing w:val="0"/>
          <w:sz w:val="22"/>
        </w:rPr>
        <w:t>: 210624********0035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28"/>
        </w:rPr>
      </w:pPr>
      <w:r>
        <w:rPr>
          <w:rFonts w:ascii="TJJLBH+MicrosoftYaHei" w:hAnsi="TJJLBH+MicrosoftYaHei" w:cs="TJJLBH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JJLBH+MicrosoftYaHei" w:hAnsi="TJJLBH+MicrosoftYaHei" w:cs="TJJLBH+MicrosoftYaHei"/>
          <w:color w:val="000000"/>
          <w:spacing w:val="0"/>
          <w:sz w:val="28"/>
        </w:rPr>
      </w:pPr>
      <w:r>
        <w:rPr>
          <w:rFonts w:ascii="TJJLBH+MicrosoftYaHei" w:hAnsi="TJJLBH+MicrosoftYaHei" w:cs="TJJLBH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尊敬的胡龙先生：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449" w:x="2623" w:y="7479"/>
        <w:widowControl w:val="off"/>
        <w:autoSpaceDE w:val="off"/>
        <w:autoSpaceDN w:val="off"/>
        <w:spacing w:before="0" w:after="0" w:line="253" w:lineRule="exact"/>
        <w:ind w:left="0" w:right="0" w:first-line="0"/>
        <w:jc w:val="left"/>
        <w:rPr>
          <w:rFonts w:ascii="TQPVUW+Wingdings-Regular" w:hAnsi="TQPVUW+Wingdings-Regular" w:cs="TQPVUW+Wingdings-Regular"/>
          <w:color w:val="000000"/>
          <w:spacing w:val="0"/>
          <w:sz w:val="23"/>
        </w:rPr>
      </w:pPr>
      <w:r>
        <w:rPr>
          <w:rFonts w:ascii="TQPVUW+Wingdings-Regular" w:hAnsi="TQPVUW+Wingdings-Regular" w:cs="TQPVUW+Wingdings-Regular"/>
          <w:color w:val="000000"/>
          <w:spacing w:val="0"/>
          <w:sz w:val="23"/>
        </w:rPr>
        <w:t>ü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TQPVUW+Wingdings-Regular" w:hAnsi="TQPVUW+Wingdings-Regular" w:cs="TQPVUW+Wingdings-Regular"/>
          <w:color w:val="000000"/>
          <w:spacing w:val="0"/>
          <w:sz w:val="23"/>
        </w:rPr>
      </w:pPr>
      <w:r>
        <w:rPr>
          <w:rFonts w:ascii="TQPVUW+Wingdings-Regular" w:hAnsi="TQPVUW+Wingdings-Regular" w:cs="TQPVUW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胡龙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7393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(1.99 mmol/L)</w:t>
      </w:r>
      <w:r>
        <w:rPr>
          <w:rFonts w:ascii="FangSong" w:hAnsi="FangSong" w:cs="FangSong"/>
          <w:color w:val="000000"/>
          <w:spacing w:val="0"/>
          <w:sz w:val="22"/>
        </w:rPr>
        <w:t>、总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(6.04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(4.14</w:t>
      </w:r>
    </w:p>
    <w:p>
      <w:pPr>
        <w:pStyle w:val="Normal"/>
        <w:framePr w:w="9649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mmol/L)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7" w:x="1440" w:y="32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9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4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4376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4376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而波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841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0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2124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若首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且图象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典型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或较</w:t>
      </w:r>
      <w:r>
        <w:rPr>
          <w:rFonts w:ascii="FangSong" w:hAnsi="FangSong" w:cs="FangSong"/>
          <w:color w:val="000000"/>
          <w:spacing w:val="0"/>
          <w:sz w:val="22"/>
        </w:rPr>
        <w:t>前次</w:t>
      </w:r>
      <w:r>
        <w:rPr>
          <w:rFonts w:ascii="FangSong" w:hAnsi="FangSong" w:cs="FangSong"/>
          <w:color w:val="000000"/>
          <w:spacing w:val="0"/>
          <w:sz w:val="22"/>
        </w:rPr>
        <w:t>检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475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促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激</w:t>
      </w:r>
      <w:r>
        <w:rPr>
          <w:rFonts w:ascii="FangSong" w:hAnsi="FangSong" w:cs="FangSong"/>
          <w:color w:val="000000"/>
          <w:spacing w:val="0"/>
          <w:sz w:val="22"/>
        </w:rPr>
        <w:t>素增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(4.4 mIU/L)[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475" w:x="1190" w:y="8692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838" w:x="1190" w:y="93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(477.9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97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972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110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345" w:x="119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7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17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950" w:x="1190" w:y="12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搏传播速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2950" w:x="1190" w:y="12376"/>
        <w:widowControl w:val="off"/>
        <w:autoSpaceDE w:val="off"/>
        <w:autoSpaceDN w:val="off"/>
        <w:spacing w:before="0" w:after="0" w:line="286" w:lineRule="exact"/>
        <w:ind w:left="25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</w:p>
    <w:p>
      <w:pPr>
        <w:pStyle w:val="Normal"/>
        <w:framePr w:w="10411" w:x="1440" w:y="1300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825" w:x="1190" w:y="136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612" w:x="1440" w:y="1398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内见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斑点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3.7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3.7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44.9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44.9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92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25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1558" w:x="5292" w:y="36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429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487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516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545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57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181.3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174.5cm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77.5Kg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88cm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25.45,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99mmHg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</w:t>
      </w:r>
      <w:r>
        <w:rPr>
          <w:rFonts w:ascii="FangSong" w:hAnsi="FangSong" w:cs="FangSong"/>
          <w:color w:val="000000"/>
          <w:spacing w:val="0"/>
          <w:sz w:val="20"/>
        </w:rPr>
        <w:t>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 xml:space="preserve">殖器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5.1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7.2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64.65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62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6754" w:y="62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1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6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9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104" w:x="91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69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2210" w:y="95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51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51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3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10712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51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51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18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127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06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061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06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-1.36,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4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1383.84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8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-1.35</w:t>
      </w:r>
    </w:p>
    <w:p>
      <w:pPr>
        <w:pStyle w:val="Normal"/>
        <w:framePr w:w="1810" w:x="9480" w:y="14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1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74.85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12.4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54.1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91.7pt;z-index:-219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31.4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68.85pt;z-index:-227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28.9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66.5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76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42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9682" w:y="2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30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3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 xml:space="preserve">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3922" w:x="914" w:y="372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723"/>
        <w:widowControl w:val="off"/>
        <w:autoSpaceDE w:val="off"/>
        <w:autoSpaceDN w:val="off"/>
        <w:spacing w:before="0" w:after="0" w:line="278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07.6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85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184.4pt;z-index:-259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两个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32mmx28mm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呈</w:t>
      </w:r>
      <w:r>
        <w:rPr>
          <w:rFonts w:ascii="FangSong" w:hAnsi="FangSong" w:cs="FangSong"/>
          <w:color w:val="000000"/>
          <w:spacing w:val="0"/>
          <w:sz w:val="22"/>
        </w:rPr>
        <w:t>筛</w:t>
      </w:r>
      <w:r>
        <w:rPr>
          <w:rFonts w:ascii="FangSong" w:hAnsi="FangSong" w:cs="FangSong"/>
          <w:color w:val="000000"/>
          <w:spacing w:val="0"/>
          <w:sz w:val="22"/>
        </w:rPr>
        <w:t>网状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/>
          <w:color w:val="000000"/>
          <w:spacing w:val="0"/>
          <w:sz w:val="22"/>
        </w:rPr>
        <w:t>,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实质回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</w:t>
      </w:r>
      <w:r>
        <w:rPr>
          <w:rFonts w:ascii="FangSong" w:hAnsi="FangSong" w:cs="FangSong"/>
          <w:color w:val="000000"/>
          <w:spacing w:val="0"/>
          <w:sz w:val="22"/>
        </w:rPr>
        <w:t>场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</w:t>
      </w:r>
    </w:p>
    <w:p>
      <w:pPr>
        <w:pStyle w:val="Normal"/>
        <w:framePr w:w="7745" w:x="4150" w:y="826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933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765" w:x="4150" w:y="98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104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9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12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欠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腺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352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9.3pt;margin-top:146pt;z-index:-283;width:232.45pt;height:143.6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);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4317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981" w:x="7747" w:y="325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014" w:x="1975" w:y="32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 xml:space="preserve">：    </w:t>
      </w: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</w:t>
      </w:r>
      <w:r>
        <w:rPr>
          <w:rFonts w:ascii="FangSong" w:hAnsi="FangSong" w:cs="FangSong"/>
          <w:color w:val="000000"/>
          <w:spacing w:val="0"/>
          <w:sz w:val="22"/>
        </w:rPr>
        <w:t>清</w:t>
      </w:r>
      <w:r>
        <w:rPr>
          <w:rFonts w:ascii="FangSong" w:hAnsi="FangSong" w:cs="FangSong"/>
          <w:color w:val="000000"/>
          <w:spacing w:val="0"/>
          <w:sz w:val="22"/>
        </w:rPr>
        <w:t>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23.9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：胡龙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4.79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7.7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58.4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2.8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00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515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165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0.487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93.1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339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11.3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14.5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1.03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：胡龙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5.2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</w:t>
      </w:r>
    </w:p>
    <w:p>
      <w:pPr>
        <w:pStyle w:val="Normal"/>
        <w:framePr w:w="499" w:x="6398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79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477.9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5.95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6.04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</w:t>
      </w:r>
      <w:r>
        <w:rPr>
          <w:rFonts w:ascii="FangSong" w:hAnsi="FangSong" w:cs="FangSong"/>
          <w:color w:val="000000"/>
          <w:spacing w:val="0"/>
          <w:sz w:val="20"/>
        </w:rPr>
        <w:t>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</w:t>
      </w:r>
      <w:r>
        <w:rPr>
          <w:rFonts w:ascii="FangSong" w:hAnsi="FangSong" w:cs="FangSong"/>
          <w:color w:val="000000"/>
          <w:spacing w:val="0"/>
          <w:sz w:val="20"/>
        </w:rPr>
        <w:t>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6.12</w:t>
      </w:r>
    </w:p>
    <w:p>
      <w:pPr>
        <w:pStyle w:val="Normal"/>
        <w:framePr w:w="702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18.5</w:t>
      </w:r>
    </w:p>
    <w:p>
      <w:pPr>
        <w:pStyle w:val="Normal"/>
        <w:framePr w:w="702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499" w:x="6398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601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0.653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10.3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3.4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0.323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0.49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4.01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11.6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17088274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：胡龙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42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JJLBH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b4979e5-0000-0000-0000-000000000000}"/>
  </w:font>
  <w:font w:name="MMRGLM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0c9ff9da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QPVU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37a32f39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2930</Words>
  <Characters>6106</Characters>
  <Application>Aspose</Application>
  <DocSecurity>0</DocSecurity>
  <Lines>819</Lines>
  <Paragraphs>819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6514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2019-12-19T16:29:42+08:00</dcterms:created>
  <dcterms:modified xmlns:xsi="http://www.w3.org/2001/XMLSchema-instance" xmlns:dcterms="http://purl.org/dc/terms/" xsi:type="dcterms:W3CDTF">2019-12-19T16:29:42+08:00</dcterms:modified>
</coreProperties>
</file>