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UNAASF+MicrosoftYaHei" w:hAnsi="UNAASF+MicrosoftYaHei" w:cs="UNAASF+MicrosoftYaHei"/>
          <w:color w:val="000000"/>
          <w:spacing w:val="0"/>
          <w:sz w:val="18"/>
        </w:rPr>
      </w:pPr>
      <w:r>
        <w:rPr>
          <w:rFonts w:ascii="UNAASF+MicrosoftYaHei" w:hAnsi="UNAASF+MicrosoftYaHei" w:cs="UNAASF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SRALD+MicrosoftYaHei"/>
          <w:color w:val="000000"/>
          <w:spacing w:val="0"/>
          <w:sz w:val="22"/>
        </w:rPr>
      </w:pPr>
      <w:r>
        <w:rPr>
          <w:rFonts w:ascii="UNAASF+MicrosoftYaHei" w:hAnsi="UNAASF+MicrosoftYaHei" w:cs="UNAASF+MicrosoftYaHei"/>
          <w:color w:val="000000"/>
          <w:spacing w:val="0"/>
          <w:sz w:val="22"/>
        </w:rPr>
        <w:t>体检日期</w:t>
      </w:r>
      <w:r>
        <w:rPr>
          <w:rFonts w:ascii="ASRALD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UNAASF+MicrosoftYaHei" w:hAnsi="UNAASF+MicrosoftYaHei" w:cs="UNAASF+MicrosoftYaHei"/>
          <w:color w:val="000000"/>
          <w:spacing w:val="0"/>
          <w:sz w:val="22"/>
        </w:rPr>
      </w:pPr>
      <w:r>
        <w:rPr>
          <w:rFonts w:ascii="UNAASF+MicrosoftYaHei" w:hAnsi="UNAASF+MicrosoftYaHei" w:cs="UNAASF+MicrosoftYaHei"/>
          <w:color w:val="000000"/>
          <w:spacing w:val="0"/>
          <w:sz w:val="22"/>
        </w:rPr>
        <w:t>姓名</w:t>
      </w:r>
      <w:r>
        <w:rPr>
          <w:rFonts w:ascii="ASRALD+MicrosoftYaHei"/>
          <w:color w:val="000000"/>
          <w:spacing w:val="0"/>
          <w:sz w:val="22"/>
        </w:rPr>
        <w:t xml:space="preserve">:  </w:t>
      </w:r>
      <w:r>
        <w:rPr>
          <w:rFonts w:ascii="UNAASF+MicrosoftYaHei" w:hAnsi="UNAASF+MicrosoftYaHei" w:cs="UNAASF+MicrosoftYaHei"/>
          <w:color w:val="000000"/>
          <w:spacing w:val="0"/>
          <w:sz w:val="22"/>
        </w:rPr>
        <w:t>孟祥涛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SRALD+MicrosoftYaHei"/>
          <w:color w:val="000000"/>
          <w:spacing w:val="0"/>
          <w:sz w:val="22"/>
        </w:rPr>
      </w:pPr>
      <w:r>
        <w:rPr>
          <w:rFonts w:ascii="UNAASF+MicrosoftYaHei" w:hAnsi="UNAASF+MicrosoftYaHei" w:cs="UNAASF+MicrosoftYaHei"/>
          <w:color w:val="000000"/>
          <w:spacing w:val="0"/>
          <w:sz w:val="22"/>
        </w:rPr>
        <w:t>卡号</w:t>
      </w:r>
      <w:r>
        <w:rPr>
          <w:rFonts w:ascii="ASRALD+MicrosoftYaHei"/>
          <w:color w:val="000000"/>
          <w:spacing w:val="0"/>
          <w:sz w:val="22"/>
        </w:rPr>
        <w:t xml:space="preserve">:  </w:t>
      </w:r>
      <w:r>
        <w:rPr>
          <w:rFonts w:ascii="ASRALD+MicrosoftYaHei"/>
          <w:color w:val="000000"/>
          <w:spacing w:val="0"/>
          <w:sz w:val="22"/>
        </w:rPr>
        <w:t>18054714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NAASF+MicrosoftYaHei" w:hAnsi="UNAASF+MicrosoftYaHei" w:cs="UNAASF+MicrosoftYaHei"/>
          <w:color w:val="000000"/>
          <w:spacing w:val="0"/>
          <w:sz w:val="22"/>
        </w:rPr>
      </w:pPr>
      <w:r>
        <w:rPr>
          <w:rFonts w:ascii="UNAASF+MicrosoftYaHei" w:hAnsi="UNAASF+MicrosoftYaHei" w:cs="UNAASF+MicrosoftYaHei"/>
          <w:color w:val="000000"/>
          <w:spacing w:val="0"/>
          <w:sz w:val="22"/>
        </w:rPr>
        <w:t>性别</w:t>
      </w:r>
      <w:r>
        <w:rPr>
          <w:rFonts w:ascii="ASRALD+MicrosoftYaHei"/>
          <w:color w:val="000000"/>
          <w:spacing w:val="0"/>
          <w:sz w:val="22"/>
        </w:rPr>
        <w:t xml:space="preserve">: </w:t>
      </w:r>
      <w:r>
        <w:rPr>
          <w:rFonts w:ascii="UNAASF+MicrosoftYaHei" w:hAnsi="UNAASF+MicrosoftYaHei" w:cs="UNAASF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NAASF+MicrosoftYaHei" w:hAnsi="UNAASF+MicrosoftYaHei" w:cs="UNAASF+MicrosoftYaHei"/>
          <w:color w:val="000000"/>
          <w:spacing w:val="0"/>
          <w:sz w:val="22"/>
        </w:rPr>
      </w:pPr>
      <w:r>
        <w:rPr>
          <w:rFonts w:ascii="UNAASF+MicrosoftYaHei" w:hAnsi="UNAASF+MicrosoftYaHei" w:cs="UNAASF+MicrosoftYaHei"/>
          <w:color w:val="000000"/>
          <w:spacing w:val="0"/>
          <w:sz w:val="22"/>
        </w:rPr>
        <w:t>单位</w:t>
      </w:r>
      <w:r>
        <w:rPr>
          <w:rFonts w:ascii="ASRALD+MicrosoftYaHei"/>
          <w:color w:val="000000"/>
          <w:spacing w:val="0"/>
          <w:sz w:val="22"/>
        </w:rPr>
        <w:t xml:space="preserve">:  </w:t>
      </w:r>
      <w:r>
        <w:rPr>
          <w:rFonts w:ascii="UNAASF+MicrosoftYaHei" w:hAnsi="UNAASF+MicrosoftYaHei" w:cs="UNAASF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ASRALD+MicrosoftYaHei"/>
          <w:color w:val="000000"/>
          <w:spacing w:val="0"/>
          <w:sz w:val="22"/>
        </w:rPr>
      </w:pPr>
      <w:r>
        <w:rPr>
          <w:rFonts w:ascii="UNAASF+MicrosoftYaHei" w:hAnsi="UNAASF+MicrosoftYaHei" w:cs="UNAASF+MicrosoftYaHei"/>
          <w:color w:val="000000"/>
          <w:spacing w:val="0"/>
          <w:sz w:val="22"/>
        </w:rPr>
        <w:t>部门</w:t>
      </w:r>
      <w:r>
        <w:rPr>
          <w:rFonts w:ascii="ASRALD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SRALD+MicrosoftYaHei"/>
          <w:color w:val="000000"/>
          <w:spacing w:val="0"/>
          <w:sz w:val="22"/>
        </w:rPr>
      </w:pPr>
      <w:r>
        <w:rPr>
          <w:rFonts w:ascii="UNAASF+MicrosoftYaHei" w:hAnsi="UNAASF+MicrosoftYaHei" w:cs="UNAASF+MicrosoftYaHei"/>
          <w:color w:val="000000"/>
          <w:spacing w:val="0"/>
          <w:sz w:val="22"/>
        </w:rPr>
        <w:t>联系方式</w:t>
      </w:r>
      <w:r>
        <w:rPr>
          <w:rFonts w:ascii="ASRALD+MicrosoftYaHei"/>
          <w:color w:val="000000"/>
          <w:spacing w:val="0"/>
          <w:sz w:val="22"/>
        </w:rPr>
        <w:t>:  187****7206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SRALD+MicrosoftYaHei"/>
          <w:color w:val="000000"/>
          <w:spacing w:val="0"/>
          <w:sz w:val="22"/>
        </w:rPr>
      </w:pPr>
      <w:r>
        <w:rPr>
          <w:rFonts w:ascii="UNAASF+MicrosoftYaHei" w:hAnsi="UNAASF+MicrosoftYaHei" w:cs="UNAASF+MicrosoftYaHei"/>
          <w:color w:val="000000"/>
          <w:spacing w:val="0"/>
          <w:sz w:val="22"/>
        </w:rPr>
        <w:t>身份证号</w:t>
      </w:r>
      <w:r>
        <w:rPr>
          <w:rFonts w:ascii="ASRALD+MicrosoftYaHei"/>
          <w:color w:val="000000"/>
          <w:spacing w:val="0"/>
          <w:sz w:val="22"/>
        </w:rPr>
        <w:t>: 210504********0278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NAASF+MicrosoftYaHei" w:hAnsi="UNAASF+MicrosoftYaHei" w:cs="UNAASF+MicrosoftYaHei"/>
          <w:color w:val="000000"/>
          <w:spacing w:val="0"/>
          <w:sz w:val="28"/>
        </w:rPr>
      </w:pPr>
      <w:r>
        <w:rPr>
          <w:rFonts w:ascii="UNAASF+MicrosoftYaHei" w:hAnsi="UNAASF+MicrosoftYaHei" w:cs="UNAASF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NAASF+MicrosoftYaHei" w:hAnsi="UNAASF+MicrosoftYaHei" w:cs="UNAASF+MicrosoftYaHei"/>
          <w:color w:val="000000"/>
          <w:spacing w:val="0"/>
          <w:sz w:val="28"/>
        </w:rPr>
      </w:pPr>
      <w:r>
        <w:rPr>
          <w:rFonts w:ascii="UNAASF+MicrosoftYaHei" w:hAnsi="UNAASF+MicrosoftYaHei" w:cs="UNAASF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18054714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尊敬的孟祥涛先生：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RAUBG+Wingdings-Regular" w:hAnsi="LRAUBG+Wingdings-Regular" w:cs="LRAUBG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LRAUBG+Wingdings-Regular" w:hAnsi="LRAUBG+Wingdings-Regular" w:cs="LRAUBG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RAUBG+Wingdings-Regular" w:hAnsi="LRAUBG+Wingdings-Regular" w:cs="LRAUBG+Wingdings-Regular"/>
          <w:color w:val="000000"/>
          <w:spacing w:val="0"/>
          <w:sz w:val="23"/>
        </w:rPr>
      </w:pPr>
      <w:r>
        <w:rPr>
          <w:rFonts w:ascii="LRAUBG+Wingdings-Regular" w:hAnsi="LRAUBG+Wingdings-Regular" w:cs="LRAUBG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孟祥涛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18054714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34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104" w:x="1440" w:y="270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分为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两类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应专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</w:p>
    <w:p>
      <w:pPr>
        <w:pStyle w:val="Normal"/>
        <w:framePr w:w="7104" w:x="1440" w:y="2708"/>
        <w:widowControl w:val="off"/>
        <w:autoSpaceDE w:val="off"/>
        <w:autoSpaceDN w:val="off"/>
        <w:spacing w:before="0" w:after="0" w:line="401" w:lineRule="exact"/>
        <w:ind w:left="139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385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4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079" w:x="1190" w:y="49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度近视眼底改变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2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膜脉络膜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行性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逆转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目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效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及重体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</w:p>
    <w:p>
      <w:pPr>
        <w:pStyle w:val="Normal"/>
        <w:framePr w:w="10411" w:x="1440" w:y="52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眼底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59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2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量咖啡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62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质疏松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防止跌倒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68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斑片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211" w:x="1440" w:y="724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</w:p>
    <w:p>
      <w:pPr>
        <w:pStyle w:val="Normal"/>
        <w:framePr w:w="5491" w:x="1190" w:y="75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胆固醇降低</w:t>
      </w:r>
      <w:r>
        <w:rPr>
          <w:rFonts w:ascii="FangSong"/>
          <w:color w:val="000000"/>
          <w:spacing w:val="0"/>
          <w:sz w:val="22"/>
        </w:rPr>
        <w:t>(1.07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9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11" w:x="1440" w:y="79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4729" w:x="1190" w:y="85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729" w:x="1190" w:y="8562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729" w:x="1190" w:y="8562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Ⅱ</w:t>
      </w:r>
      <w:r>
        <w:rPr>
          <w:rFonts w:ascii="FangSong"/>
          <w:color w:val="000000"/>
          <w:spacing w:val="0"/>
          <w:sz w:val="22"/>
        </w:rPr>
        <w:t>T</w:t>
      </w:r>
      <w:r>
        <w:rPr>
          <w:rFonts w:ascii="FangSong" w:hAnsi="FangSong" w:cs="FangSong"/>
          <w:color w:val="000000"/>
          <w:spacing w:val="0"/>
          <w:sz w:val="22"/>
        </w:rPr>
        <w:t>略低平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729" w:x="1190" w:y="8562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207" w:x="1190" w:y="99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脉搏传播速度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值稍增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7" w:x="1190" w:y="9942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05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等危险</w:t>
      </w:r>
    </w:p>
    <w:p>
      <w:pPr>
        <w:pStyle w:val="Normal"/>
        <w:framePr w:w="10408" w:x="1440" w:y="1057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19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198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</w:t>
      </w:r>
      <w:r>
        <w:rPr>
          <w:rFonts w:ascii="FangSong" w:hAnsi="FangSong" w:cs="FangSong"/>
          <w:color w:val="000000"/>
          <w:spacing w:val="0"/>
          <w:sz w:val="22"/>
        </w:rPr>
        <w:t>镛</w:t>
      </w:r>
    </w:p>
    <w:p>
      <w:pPr>
        <w:pStyle w:val="Normal"/>
        <w:framePr w:w="2428" w:x="8158" w:y="126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50.2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50.2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221.7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221.7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18054714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18054714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171cm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74.2Kg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25.38,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0.85,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6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099" w:x="92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3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8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43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47.05pt;z-index:-179;width:506.65pt;height:61.8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27.2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64.65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18054714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度近视眼底改变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豹纹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眼底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乳</w:t>
      </w:r>
      <w:r>
        <w:rPr>
          <w:rFonts w:ascii="FangSong" w:hAnsi="FangSong" w:cs="FangSong"/>
          <w:color w:val="000000"/>
          <w:spacing w:val="0"/>
          <w:sz w:val="20"/>
        </w:rPr>
        <w:t>头颞侧</w:t>
      </w:r>
      <w:r>
        <w:rPr>
          <w:rFonts w:ascii="FangSong" w:hAnsi="FangSong" w:cs="FangSong"/>
          <w:color w:val="000000"/>
          <w:spacing w:val="0"/>
          <w:sz w:val="20"/>
        </w:rPr>
        <w:t>有</w:t>
      </w:r>
      <w:r>
        <w:rPr>
          <w:rFonts w:ascii="FangSong" w:hAnsi="FangSong" w:cs="FangSong"/>
          <w:color w:val="000000"/>
          <w:spacing w:val="0"/>
          <w:sz w:val="20"/>
        </w:rPr>
        <w:t>灰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近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弧形</w:t>
      </w:r>
      <w:r>
        <w:rPr>
          <w:rFonts w:ascii="FangSong" w:hAnsi="FangSong" w:cs="FangSong"/>
          <w:color w:val="000000"/>
          <w:spacing w:val="0"/>
          <w:sz w:val="20"/>
        </w:rPr>
        <w:t>斑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40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4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</w:t>
      </w:r>
      <w:r>
        <w:rPr>
          <w:rFonts w:ascii="FangSong" w:hAnsi="FangSong" w:cs="FangSong"/>
          <w:color w:val="000000"/>
          <w:spacing w:val="0"/>
          <w:sz w:val="20"/>
        </w:rPr>
        <w:t>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259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259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259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6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6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72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77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3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0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8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3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61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1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897" w:x="2210" w:y="12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其它</w:t>
      </w:r>
      <w:r>
        <w:rPr>
          <w:rFonts w:ascii="FangSong" w:hAnsi="FangSong" w:cs="FangSong"/>
          <w:color w:val="000000"/>
          <w:spacing w:val="0"/>
          <w:sz w:val="20"/>
        </w:rPr>
        <w:t>改变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Ⅱ</w:t>
      </w: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略低平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1810" w:x="9480" w:y="12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512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512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-1.77,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1327.41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2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2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-1.77</w:t>
      </w:r>
    </w:p>
    <w:p>
      <w:pPr>
        <w:pStyle w:val="Normal"/>
        <w:framePr w:w="1810" w:x="9480" w:y="14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658"/>
        <w:widowControl w:val="off"/>
        <w:autoSpaceDE w:val="off"/>
        <w:autoSpaceDN w:val="off"/>
        <w:spacing w:before="0" w:after="0" w:line="1016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6.3pt;height:145.8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5.25pt;margin-top:201.9pt;z-index:-20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41.3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278.7pt;z-index:-211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79.6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17.2pt;z-index:-219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59.05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596.5pt;z-index:-227;width:507pt;height:39.1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53.85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91.4pt;z-index:-235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18054714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>传播 脉搏传播速度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值稍增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44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速度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57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83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06.65pt;z-index:-251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145.05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84.4pt;z-index:-25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221.85pt;z-index:-263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18054714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324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8mmx5mm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态规则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</w:t>
      </w:r>
    </w:p>
    <w:p>
      <w:pPr>
        <w:pStyle w:val="Normal"/>
        <w:framePr w:w="7745" w:x="4150" w:y="85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90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2920" w:x="4150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0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8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544" w:x="4150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5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30mm,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</w:p>
    <w:p>
      <w:pPr>
        <w:pStyle w:val="Normal"/>
        <w:framePr w:w="7745" w:x="4150" w:y="115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3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66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30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2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2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8.7pt;margin-top:146pt;z-index:-283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329.3pt;margin-top:146pt;z-index:-287;width:232.45pt;height:143.6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18054714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18054714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斑片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隐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斑片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边缘欠清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伪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待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434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斑片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影</w:t>
      </w:r>
    </w:p>
    <w:p>
      <w:pPr>
        <w:pStyle w:val="Normal"/>
        <w:framePr w:w="1434" w:x="1975" w:y="102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2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25.8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89.7pt;margin-top:146pt;z-index:-319;width:223.3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66.4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18054714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4pt;margin-top:54.15pt;z-index:-33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3.65pt;margin-top:28.95pt;z-index:-3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9.3pt;margin-top:102.05pt;z-index:-33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5.5pt;margin-top:525.05pt;z-index:-34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18054714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29.3pt;margin-top:29.95pt;z-index:-35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32.15pt;margin-top:77.25pt;z-index:-35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18054714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：孟祥涛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35.7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56.7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0.07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338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30.1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227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11.8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160.75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174.45pt;z-index:-37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776.6pt;z-index:-3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18054714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：孟祥涛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4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499" w:x="6398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323.1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0.95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5.76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17.57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1.37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12.29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2.787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6.03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0.817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0.29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1.63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1.86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312.7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326.35pt;z-index:-39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547.15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560.85pt;z-index:-403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18054714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：孟祥涛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3" style="position:absolute;margin-left:45.7pt;margin-top:29.95pt;z-index:-41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137.35pt;z-index:-41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776.6pt;z-index:-4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0pt;margin-top:0pt;z-index:-4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NAASF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aa7d210-0000-0000-0000-000000000000}"/>
  </w:font>
  <w:font w:name="ASRALD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94288c4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RAUBG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fae2ed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styles" Target="styles.xml" /><Relationship Id="rId109" Type="http://schemas.openxmlformats.org/officeDocument/2006/relationships/fontTable" Target="fontTable.xml" /><Relationship Id="rId11" Type="http://schemas.openxmlformats.org/officeDocument/2006/relationships/image" Target="media/image11.jpeg" /><Relationship Id="rId110" Type="http://schemas.openxmlformats.org/officeDocument/2006/relationships/settings" Target="settings.xml" /><Relationship Id="rId111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2615</Words>
  <Characters>5684</Characters>
  <Application>Aspose</Application>
  <DocSecurity>0</DocSecurity>
  <Lines>804</Lines>
  <Paragraphs>804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6092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2019-12-19T16:35:25+08:00</dcterms:created>
  <dcterms:modified xmlns:xsi="http://www.w3.org/2001/XMLSchema-instance" xmlns:dcterms="http://purl.org/dc/terms/" xsi:type="dcterms:W3CDTF">2019-12-19T16:35:25+08:00</dcterms:modified>
</coreProperties>
</file>