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ECONHT+MicrosoftYaHei" w:hAnsi="ECONHT+MicrosoftYaHei" w:cs="ECONHT+MicrosoftYaHei"/>
          <w:color w:val="000000"/>
          <w:spacing w:val="0"/>
          <w:sz w:val="18"/>
        </w:rPr>
      </w:pPr>
      <w:r>
        <w:rPr>
          <w:rFonts w:ascii="ECONHT+MicrosoftYaHei" w:hAnsi="ECONHT+MicrosoftYaHei" w:cs="ECONHT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WINTD+MicrosoftYaHei"/>
          <w:color w:val="000000"/>
          <w:spacing w:val="0"/>
          <w:sz w:val="22"/>
        </w:rPr>
      </w:pPr>
      <w:r>
        <w:rPr>
          <w:rFonts w:ascii="ECONHT+MicrosoftYaHei" w:hAnsi="ECONHT+MicrosoftYaHei" w:cs="ECONHT+MicrosoftYaHei"/>
          <w:color w:val="000000"/>
          <w:spacing w:val="0"/>
          <w:sz w:val="22"/>
        </w:rPr>
        <w:t>体检日期</w:t>
      </w:r>
      <w:r>
        <w:rPr>
          <w:rFonts w:ascii="HWINTD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ECONHT+MicrosoftYaHei" w:hAnsi="ECONHT+MicrosoftYaHei" w:cs="ECONHT+MicrosoftYaHei"/>
          <w:color w:val="000000"/>
          <w:spacing w:val="0"/>
          <w:sz w:val="22"/>
        </w:rPr>
      </w:pPr>
      <w:r>
        <w:rPr>
          <w:rFonts w:ascii="ECONHT+MicrosoftYaHei" w:hAnsi="ECONHT+MicrosoftYaHei" w:cs="ECONHT+MicrosoftYaHei"/>
          <w:color w:val="000000"/>
          <w:spacing w:val="0"/>
          <w:sz w:val="22"/>
        </w:rPr>
        <w:t>姓名</w:t>
      </w:r>
      <w:r>
        <w:rPr>
          <w:rFonts w:ascii="HWINTD+MicrosoftYaHei"/>
          <w:color w:val="000000"/>
          <w:spacing w:val="0"/>
          <w:sz w:val="22"/>
        </w:rPr>
        <w:t xml:space="preserve">:  </w:t>
      </w:r>
      <w:r>
        <w:rPr>
          <w:rFonts w:ascii="ECONHT+MicrosoftYaHei" w:hAnsi="ECONHT+MicrosoftYaHei" w:cs="ECONHT+MicrosoftYaHei"/>
          <w:color w:val="000000"/>
          <w:spacing w:val="0"/>
          <w:sz w:val="22"/>
        </w:rPr>
        <w:t>王浩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WINTD+MicrosoftYaHei"/>
          <w:color w:val="000000"/>
          <w:spacing w:val="0"/>
          <w:sz w:val="22"/>
        </w:rPr>
      </w:pPr>
      <w:r>
        <w:rPr>
          <w:rFonts w:ascii="ECONHT+MicrosoftYaHei" w:hAnsi="ECONHT+MicrosoftYaHei" w:cs="ECONHT+MicrosoftYaHei"/>
          <w:color w:val="000000"/>
          <w:spacing w:val="0"/>
          <w:sz w:val="22"/>
        </w:rPr>
        <w:t>卡号</w:t>
      </w:r>
      <w:r>
        <w:rPr>
          <w:rFonts w:ascii="HWINTD+MicrosoftYaHei"/>
          <w:color w:val="000000"/>
          <w:spacing w:val="0"/>
          <w:sz w:val="22"/>
        </w:rPr>
        <w:t xml:space="preserve">:  </w:t>
      </w:r>
      <w:r>
        <w:rPr>
          <w:rFonts w:ascii="HWINTD+MicrosoftYaHei"/>
          <w:color w:val="000000"/>
          <w:spacing w:val="0"/>
          <w:sz w:val="22"/>
        </w:rPr>
        <w:t>16013522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CONHT+MicrosoftYaHei" w:hAnsi="ECONHT+MicrosoftYaHei" w:cs="ECONHT+MicrosoftYaHei"/>
          <w:color w:val="000000"/>
          <w:spacing w:val="0"/>
          <w:sz w:val="22"/>
        </w:rPr>
      </w:pPr>
      <w:r>
        <w:rPr>
          <w:rFonts w:ascii="ECONHT+MicrosoftYaHei" w:hAnsi="ECONHT+MicrosoftYaHei" w:cs="ECONHT+MicrosoftYaHei"/>
          <w:color w:val="000000"/>
          <w:spacing w:val="0"/>
          <w:sz w:val="22"/>
        </w:rPr>
        <w:t>性别</w:t>
      </w:r>
      <w:r>
        <w:rPr>
          <w:rFonts w:ascii="HWINTD+MicrosoftYaHei"/>
          <w:color w:val="000000"/>
          <w:spacing w:val="0"/>
          <w:sz w:val="22"/>
        </w:rPr>
        <w:t xml:space="preserve">: </w:t>
      </w:r>
      <w:r>
        <w:rPr>
          <w:rFonts w:ascii="ECONHT+MicrosoftYaHei" w:hAnsi="ECONHT+MicrosoftYaHei" w:cs="ECONHT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CONHT+MicrosoftYaHei" w:hAnsi="ECONHT+MicrosoftYaHei" w:cs="ECONHT+MicrosoftYaHei"/>
          <w:color w:val="000000"/>
          <w:spacing w:val="0"/>
          <w:sz w:val="22"/>
        </w:rPr>
      </w:pPr>
      <w:r>
        <w:rPr>
          <w:rFonts w:ascii="ECONHT+MicrosoftYaHei" w:hAnsi="ECONHT+MicrosoftYaHei" w:cs="ECONHT+MicrosoftYaHei"/>
          <w:color w:val="000000"/>
          <w:spacing w:val="0"/>
          <w:sz w:val="22"/>
        </w:rPr>
        <w:t>单位</w:t>
      </w:r>
      <w:r>
        <w:rPr>
          <w:rFonts w:ascii="HWINTD+MicrosoftYaHei"/>
          <w:color w:val="000000"/>
          <w:spacing w:val="0"/>
          <w:sz w:val="22"/>
        </w:rPr>
        <w:t xml:space="preserve">:  </w:t>
      </w:r>
      <w:r>
        <w:rPr>
          <w:rFonts w:ascii="ECONHT+MicrosoftYaHei" w:hAnsi="ECONHT+MicrosoftYaHei" w:cs="ECONHT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HWINTD+MicrosoftYaHei"/>
          <w:color w:val="000000"/>
          <w:spacing w:val="0"/>
          <w:sz w:val="22"/>
        </w:rPr>
      </w:pPr>
      <w:r>
        <w:rPr>
          <w:rFonts w:ascii="ECONHT+MicrosoftYaHei" w:hAnsi="ECONHT+MicrosoftYaHei" w:cs="ECONHT+MicrosoftYaHei"/>
          <w:color w:val="000000"/>
          <w:spacing w:val="0"/>
          <w:sz w:val="22"/>
        </w:rPr>
        <w:t>部门</w:t>
      </w:r>
      <w:r>
        <w:rPr>
          <w:rFonts w:ascii="HWINTD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WINTD+MicrosoftYaHei"/>
          <w:color w:val="000000"/>
          <w:spacing w:val="0"/>
          <w:sz w:val="22"/>
        </w:rPr>
      </w:pPr>
      <w:r>
        <w:rPr>
          <w:rFonts w:ascii="ECONHT+MicrosoftYaHei" w:hAnsi="ECONHT+MicrosoftYaHei" w:cs="ECONHT+MicrosoftYaHei"/>
          <w:color w:val="000000"/>
          <w:spacing w:val="0"/>
          <w:sz w:val="22"/>
        </w:rPr>
        <w:t>联系方式</w:t>
      </w:r>
      <w:r>
        <w:rPr>
          <w:rFonts w:ascii="HWINTD+MicrosoftYaHei"/>
          <w:color w:val="000000"/>
          <w:spacing w:val="0"/>
          <w:sz w:val="22"/>
        </w:rPr>
        <w:t>:  159****1309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WINTD+MicrosoftYaHei"/>
          <w:color w:val="000000"/>
          <w:spacing w:val="0"/>
          <w:sz w:val="22"/>
        </w:rPr>
      </w:pPr>
      <w:r>
        <w:rPr>
          <w:rFonts w:ascii="ECONHT+MicrosoftYaHei" w:hAnsi="ECONHT+MicrosoftYaHei" w:cs="ECONHT+MicrosoftYaHei"/>
          <w:color w:val="000000"/>
          <w:spacing w:val="0"/>
          <w:sz w:val="22"/>
        </w:rPr>
        <w:t>身份证号</w:t>
      </w:r>
      <w:r>
        <w:rPr>
          <w:rFonts w:ascii="HWINTD+MicrosoftYaHei"/>
          <w:color w:val="000000"/>
          <w:spacing w:val="0"/>
          <w:sz w:val="22"/>
        </w:rPr>
        <w:t>: 110102********3315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CONHT+MicrosoftYaHei" w:hAnsi="ECONHT+MicrosoftYaHei" w:cs="ECONHT+MicrosoftYaHei"/>
          <w:color w:val="000000"/>
          <w:spacing w:val="0"/>
          <w:sz w:val="28"/>
        </w:rPr>
      </w:pPr>
      <w:r>
        <w:rPr>
          <w:rFonts w:ascii="ECONHT+MicrosoftYaHei" w:hAnsi="ECONHT+MicrosoftYaHei" w:cs="ECONHT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CONHT+MicrosoftYaHei" w:hAnsi="ECONHT+MicrosoftYaHei" w:cs="ECONHT+MicrosoftYaHei"/>
          <w:color w:val="000000"/>
          <w:spacing w:val="0"/>
          <w:sz w:val="28"/>
        </w:rPr>
      </w:pPr>
      <w:r>
        <w:rPr>
          <w:rFonts w:ascii="ECONHT+MicrosoftYaHei" w:hAnsi="ECONHT+MicrosoftYaHei" w:cs="ECONHT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16013522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131804160052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尊敬的王浩先生：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8" w:x="2623" w:y="710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TABIPD+Wingdings-Regular" w:hAnsi="TABIPD+Wingdings-Regular" w:cs="TABIPD+Wingdings-Regular"/>
          <w:color w:val="000000"/>
          <w:spacing w:val="0"/>
          <w:sz w:val="23"/>
        </w:rPr>
      </w:pPr>
      <w:r>
        <w:rPr>
          <w:rFonts w:ascii="TABIPD+Wingdings-Regular" w:hAnsi="TABIPD+Wingdings-Regular" w:cs="TABIPD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TABIPD+Wingdings-Regular" w:hAnsi="TABIPD+Wingdings-Regular" w:cs="TABIPD+Wingdings-Regular"/>
          <w:color w:val="000000"/>
          <w:spacing w:val="0"/>
          <w:sz w:val="23"/>
        </w:rPr>
      </w:pPr>
      <w:r>
        <w:rPr>
          <w:rFonts w:ascii="TABIPD+Wingdings-Regular" w:hAnsi="TABIPD+Wingdings-Regular" w:cs="TABIPD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王浩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16013522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131804160052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5618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(5.66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(3.88 mmol/L)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1655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1903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副脾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36" w:x="1190" w:y="4439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殊处</w:t>
      </w:r>
      <w:r>
        <w:rPr>
          <w:rFonts w:ascii="FangSong" w:hAnsi="FangSong" w:cs="FangSong"/>
          <w:color w:val="000000"/>
          <w:spacing w:val="0"/>
          <w:sz w:val="22"/>
        </w:rPr>
        <w:t>理，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836" w:x="1190" w:y="4439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(1.039 )[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5" w:x="1440" w:y="51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足</w:t>
      </w:r>
      <w:r>
        <w:rPr>
          <w:rFonts w:ascii="FangSong" w:hAnsi="FangSong" w:cs="FangSong"/>
          <w:color w:val="000000"/>
          <w:spacing w:val="0"/>
          <w:sz w:val="22"/>
        </w:rPr>
        <w:t>、大</w:t>
      </w:r>
      <w:r>
        <w:rPr>
          <w:rFonts w:ascii="FangSong" w:hAnsi="FangSong" w:cs="FangSong"/>
          <w:color w:val="000000"/>
          <w:spacing w:val="0"/>
          <w:sz w:val="22"/>
        </w:rPr>
        <w:t>量出汗可引起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超出正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波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范围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990" w:x="1440" w:y="5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1682" w:x="1190" w:y="5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色弱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1" w:x="1440" w:y="610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色觉障碍</w:t>
      </w:r>
      <w:r>
        <w:rPr>
          <w:rFonts w:ascii="FangSong" w:hAnsi="FangSong" w:cs="FangSong"/>
          <w:color w:val="000000"/>
          <w:spacing w:val="0"/>
          <w:sz w:val="22"/>
        </w:rPr>
        <w:t>分为先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类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遗传基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的先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色觉障碍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且存</w:t>
      </w:r>
      <w:r>
        <w:rPr>
          <w:rFonts w:ascii="FangSong" w:hAnsi="FangSong" w:cs="FangSong"/>
          <w:color w:val="000000"/>
          <w:spacing w:val="0"/>
          <w:sz w:val="22"/>
        </w:rPr>
        <w:t>在性</w:t>
      </w:r>
      <w:r>
        <w:rPr>
          <w:rFonts w:ascii="FangSong" w:hAnsi="FangSong" w:cs="FangSong"/>
          <w:color w:val="000000"/>
          <w:spacing w:val="0"/>
          <w:sz w:val="22"/>
        </w:rPr>
        <w:t>别</w:t>
      </w:r>
      <w:r>
        <w:rPr>
          <w:rFonts w:ascii="FangSong" w:hAnsi="FangSong" w:cs="FangSong"/>
          <w:color w:val="000000"/>
          <w:spacing w:val="0"/>
          <w:sz w:val="22"/>
        </w:rPr>
        <w:t>差</w:t>
      </w:r>
    </w:p>
    <w:p>
      <w:pPr>
        <w:pStyle w:val="Normal"/>
        <w:framePr w:w="10151" w:x="1440" w:y="639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异。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佩戴色盲矫正镜纠正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少数色觉障碍见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如某些眼底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青光眼</w:t>
      </w:r>
    </w:p>
    <w:p>
      <w:pPr>
        <w:pStyle w:val="Normal"/>
        <w:framePr w:w="10151" w:x="1440" w:y="639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70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930" w:x="1190" w:y="7386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尚未完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9930" w:x="1190" w:y="7386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612" w:x="1440" w:y="807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内见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强回声斑点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91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9198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98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16013522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131804160052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16013522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131804160052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178.5cm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67.7Kg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21.25,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0.80,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128mmHg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83mmHg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张秀影</w:t>
      </w:r>
      <w:r>
        <w:rPr>
          <w:rFonts w:ascii="FangSong" w:hAnsi="FangSong" w:cs="FangSong"/>
          <w:color w:val="000000"/>
          <w:spacing w:val="0"/>
          <w:sz w:val="20"/>
        </w:rPr>
        <w:t>、王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眼矫正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1.45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79pt;z-index:-16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620.85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58.3pt;z-index:-175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3.9pt;margin-top:770.35pt;z-index:-1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0pt;margin-top:0pt;z-index:-1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16013522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131804160052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色弱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5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05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54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2011" w:x="1450" w:y="120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4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198" w:x="914" w:y="127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27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275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35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3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6" style="position:absolute;margin-left:43.55pt;margin-top:44.1pt;z-index:-187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203.35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40.8pt;z-index:-195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341.7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79.3pt;z-index:-203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521.1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58.55pt;z-index:-211;width:507pt;height:21.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98.3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35.85pt;z-index:-219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5.25pt;margin-top:674.25pt;z-index:-22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3.9pt;margin-top:770.35pt;z-index:-2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0pt;margin-top:0pt;z-index:-2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16013522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237" w:x="4150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副脾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237" w:x="4150" w:y="93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可见副脾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13mm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9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103" w:x="4150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7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极</w:t>
      </w:r>
      <w:r>
        <w:rPr>
          <w:rFonts w:ascii="FangSong" w:hAnsi="FangSong" w:cs="FangSong"/>
          <w:color w:val="000000"/>
          <w:spacing w:val="0"/>
          <w:sz w:val="22"/>
        </w:rPr>
        <w:t>可见囊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10mm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745" w:x="4150" w:y="1073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992" w:x="2066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5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可见强回声灶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618" w:x="4150" w:y="115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2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3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6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26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8" style="position:absolute;margin-left:43.55pt;margin-top:44.1pt;z-index:-23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125.85pt;z-index:-2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8.7pt;margin-top:146pt;z-index:-243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329.3pt;margin-top:146pt;z-index:-247;width:232.45pt;height:143.6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66.4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16013522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131804160052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876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副脾</w:t>
      </w:r>
    </w:p>
    <w:p>
      <w:pPr>
        <w:pStyle w:val="Normal"/>
        <w:framePr w:w="1876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1876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981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3.55pt;margin-top:44.1pt;z-index:-25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66.4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16013522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189.7pt;margin-top:146pt;z-index:-279;width:226.8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766.4pt;z-index:-2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0pt;margin-top:0pt;z-index:-2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16013522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131804160052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2" style="position:absolute;margin-left:24pt;margin-top:54.15pt;z-index:-29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23.65pt;margin-top:28.95pt;z-index:-2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29.3pt;margin-top:102.05pt;z-index:-29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15.5pt;margin-top:525.05pt;z-index:-30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16013522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：王浩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39.8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601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51.5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2.82</w:t>
      </w:r>
    </w:p>
    <w:p>
      <w:pPr>
        <w:pStyle w:val="Normal"/>
        <w:framePr w:w="702" w:x="515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158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85.5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341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29.1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228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1.039</w:t>
      </w:r>
    </w:p>
    <w:p>
      <w:pPr>
        <w:pStyle w:val="Normal"/>
        <w:framePr w:w="499" w:x="6398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5.7pt;margin-top:29.95pt;z-index:-31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37.3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2.7pt;margin-top:160.75pt;z-index:-31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4.3pt;margin-top:174.45pt;z-index:-32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76.6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16013522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：王浩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131804160052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499" w:x="6398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4.82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261.9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1.28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20.06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2.16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11.16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1.201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0.34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0.28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2.25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2.05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45.7pt;margin-top:29.95pt;z-index:-33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137.35pt;z-index:-339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2.7pt;margin-top:312.7pt;z-index:-34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4.3pt;margin-top:326.35pt;z-index:-34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2.7pt;margin-top:547.15pt;z-index:-35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4.3pt;margin-top:560.85pt;z-index:-355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776.6pt;z-index:-3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16013522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131804160052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：王浩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131804160052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2018-04-18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1" style="position:absolute;margin-left:45.7pt;margin-top:29.95pt;z-index:-36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137.35pt;z-index:-371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776.6pt;z-index:-3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0pt;margin-top:0pt;z-index:-3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ECONHT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b3aae15a-0000-0000-0000-000000000000}"/>
  </w:font>
  <w:font w:name="HWINTD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73d7433c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TABIPD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b60ace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styles" Target="styles.xml" /><Relationship Id="rId97" Type="http://schemas.openxmlformats.org/officeDocument/2006/relationships/fontTable" Target="fontTable.xml" /><Relationship Id="rId98" Type="http://schemas.openxmlformats.org/officeDocument/2006/relationships/settings" Target="settings.xml" /><Relationship Id="rId99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2314</Words>
  <Characters>5285</Characters>
  <Application>Aspose</Application>
  <DocSecurity>0</DocSecurity>
  <Lines>764</Lines>
  <Paragraphs>764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5682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2019-12-19T16:42:53+08:00</dcterms:created>
  <dcterms:modified xmlns:xsi="http://www.w3.org/2001/XMLSchema-instance" xmlns:dcterms="http://purl.org/dc/terms/" xsi:type="dcterms:W3CDTF">2019-12-19T16:42:53+08:00</dcterms:modified>
</coreProperties>
</file>