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PEPCN+MicrosoftYaHei" w:hAnsi="PPEPCN+MicrosoftYaHei" w:cs="PPEPCN+MicrosoftYaHei"/>
          <w:color w:val="000000"/>
          <w:spacing w:val="0"/>
          <w:sz w:val="18"/>
        </w:rPr>
      </w:pPr>
      <w:r>
        <w:rPr>
          <w:rFonts w:ascii="PPEPCN+MicrosoftYaHei" w:hAnsi="PPEPCN+MicrosoftYaHei" w:cs="PPEPCN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IFCWQ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体检日期</w:t>
      </w:r>
      <w:r>
        <w:rPr>
          <w:rFonts w:ascii="EIFCWQ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PEPCN+MicrosoftYaHei" w:hAnsi="PPEPCN+MicrosoftYaHei" w:cs="PPEPCN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姓名</w:t>
      </w:r>
      <w:r>
        <w:rPr>
          <w:rFonts w:ascii="EIFCWQ+MicrosoftYaHei"/>
          <w:color w:val="000000"/>
          <w:spacing w:val="0"/>
          <w:sz w:val="22"/>
        </w:rPr>
        <w:t xml:space="preserve">:  </w:t>
      </w:r>
      <w:r>
        <w:rPr>
          <w:rFonts w:ascii="PPEPCN+MicrosoftYaHei" w:hAnsi="PPEPCN+MicrosoftYaHei" w:cs="PPEPCN+MicrosoftYaHei"/>
          <w:color w:val="000000"/>
          <w:spacing w:val="0"/>
          <w:sz w:val="22"/>
        </w:rPr>
        <w:t>江永辉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IFCWQ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卡号</w:t>
      </w:r>
      <w:r>
        <w:rPr>
          <w:rFonts w:ascii="EIFCWQ+MicrosoftYaHei"/>
          <w:color w:val="000000"/>
          <w:spacing w:val="0"/>
          <w:sz w:val="22"/>
        </w:rPr>
        <w:t xml:space="preserve">:  </w:t>
      </w:r>
      <w:r>
        <w:rPr>
          <w:rFonts w:ascii="EIFCWQ+MicrosoftYaHei"/>
          <w:color w:val="000000"/>
          <w:spacing w:val="0"/>
          <w:sz w:val="22"/>
        </w:rPr>
        <w:t>16011332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PEPCN+MicrosoftYaHei" w:hAnsi="PPEPCN+MicrosoftYaHei" w:cs="PPEPCN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性别</w:t>
      </w:r>
      <w:r>
        <w:rPr>
          <w:rFonts w:ascii="EIFCWQ+MicrosoftYaHei"/>
          <w:color w:val="000000"/>
          <w:spacing w:val="0"/>
          <w:sz w:val="22"/>
        </w:rPr>
        <w:t xml:space="preserve">: </w:t>
      </w:r>
      <w:r>
        <w:rPr>
          <w:rFonts w:ascii="PPEPCN+MicrosoftYaHei" w:hAnsi="PPEPCN+MicrosoftYaHei" w:cs="PPEPCN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PEPCN+MicrosoftYaHei" w:hAnsi="PPEPCN+MicrosoftYaHei" w:cs="PPEPCN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单位</w:t>
      </w:r>
      <w:r>
        <w:rPr>
          <w:rFonts w:ascii="EIFCWQ+MicrosoftYaHei"/>
          <w:color w:val="000000"/>
          <w:spacing w:val="0"/>
          <w:sz w:val="22"/>
        </w:rPr>
        <w:t xml:space="preserve">:  </w:t>
      </w:r>
      <w:r>
        <w:rPr>
          <w:rFonts w:ascii="PPEPCN+MicrosoftYaHei" w:hAnsi="PPEPCN+MicrosoftYaHei" w:cs="PPEPCN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EIFCWQ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部门</w:t>
      </w:r>
      <w:r>
        <w:rPr>
          <w:rFonts w:ascii="EIFCWQ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IFCWQ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联系方式</w:t>
      </w:r>
      <w:r>
        <w:rPr>
          <w:rFonts w:ascii="EIFCWQ+MicrosoftYaHei"/>
          <w:color w:val="000000"/>
          <w:spacing w:val="0"/>
          <w:sz w:val="22"/>
        </w:rPr>
        <w:t>:  136****8011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IFCWQ+MicrosoftYaHei"/>
          <w:color w:val="000000"/>
          <w:spacing w:val="0"/>
          <w:sz w:val="22"/>
        </w:rPr>
      </w:pPr>
      <w:r>
        <w:rPr>
          <w:rFonts w:ascii="PPEPCN+MicrosoftYaHei" w:hAnsi="PPEPCN+MicrosoftYaHei" w:cs="PPEPCN+MicrosoftYaHei"/>
          <w:color w:val="000000"/>
          <w:spacing w:val="0"/>
          <w:sz w:val="22"/>
        </w:rPr>
        <w:t>身份证号</w:t>
      </w:r>
      <w:r>
        <w:rPr>
          <w:rFonts w:ascii="EIFCWQ+MicrosoftYaHei"/>
          <w:color w:val="000000"/>
          <w:spacing w:val="0"/>
          <w:sz w:val="22"/>
        </w:rPr>
        <w:t>: 370202********3515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PEPCN+MicrosoftYaHei" w:hAnsi="PPEPCN+MicrosoftYaHei" w:cs="PPEPCN+MicrosoftYaHei"/>
          <w:color w:val="000000"/>
          <w:spacing w:val="0"/>
          <w:sz w:val="28"/>
        </w:rPr>
      </w:pPr>
      <w:r>
        <w:rPr>
          <w:rFonts w:ascii="PPEPCN+MicrosoftYaHei" w:hAnsi="PPEPCN+MicrosoftYaHei" w:cs="PPEPCN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PEPCN+MicrosoftYaHei" w:hAnsi="PPEPCN+MicrosoftYaHei" w:cs="PPEPCN+MicrosoftYaHei"/>
          <w:color w:val="000000"/>
          <w:spacing w:val="0"/>
          <w:sz w:val="28"/>
        </w:rPr>
      </w:pPr>
      <w:r>
        <w:rPr>
          <w:rFonts w:ascii="PPEPCN+MicrosoftYaHei" w:hAnsi="PPEPCN+MicrosoftYaHei" w:cs="PPEPCN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尊敬的江永辉先生：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CHQON+Wingdings-Regular" w:hAnsi="PCHQON+Wingdings-Regular" w:cs="PCHQON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PCHQON+Wingdings-Regular" w:hAnsi="PCHQON+Wingdings-Regular" w:cs="PCHQON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CHQON+Wingdings-Regular" w:hAnsi="PCHQON+Wingdings-Regular" w:cs="PCHQON+Wingdings-Regular"/>
          <w:color w:val="000000"/>
          <w:spacing w:val="0"/>
          <w:sz w:val="23"/>
        </w:rPr>
      </w:pPr>
      <w:r>
        <w:rPr>
          <w:rFonts w:ascii="PCHQON+Wingdings-Regular" w:hAnsi="PCHQON+Wingdings-Regular" w:cs="PCHQON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江永辉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612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(3.53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(1.08 mmol/L)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疗和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40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40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右眼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34" w:x="1440" w:y="513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请您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科进行诊治。</w:t>
      </w:r>
    </w:p>
    <w:p>
      <w:pPr>
        <w:pStyle w:val="Normal"/>
        <w:framePr w:w="2825" w:x="1190" w:y="54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58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333" w:x="1190" w:y="6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肥厚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可引起单侧或双侧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鼻涕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，常</w:t>
      </w:r>
      <w:r>
        <w:rPr>
          <w:rFonts w:ascii="FangSong" w:hAnsi="FangSong" w:cs="FangSong"/>
          <w:color w:val="000000"/>
          <w:spacing w:val="0"/>
          <w:sz w:val="22"/>
        </w:rPr>
        <w:t>伴鼻音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耳鸣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耳闭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感、</w:t>
      </w:r>
      <w:r>
        <w:rPr>
          <w:rFonts w:ascii="FangSong" w:hAnsi="FangSong" w:cs="FangSong"/>
          <w:color w:val="000000"/>
          <w:spacing w:val="0"/>
          <w:sz w:val="22"/>
        </w:rPr>
        <w:t>头昏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头痛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咽干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咽痛等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少数嗅觉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079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7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77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8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87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87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968" w:x="1190" w:y="9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弱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692" w:x="1190" w:y="9731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692" w:x="1190" w:y="9731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(479.5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1042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042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042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1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120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24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5237" w:x="1190" w:y="13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3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3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821" w:x="1190" w:y="140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胸椎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弯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821" w:x="1190" w:y="14046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79.4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79.4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169.5cm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25.79,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910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1910" w:x="8050" w:y="1333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慢性结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97" w:x="91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86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4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44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7.05pt;z-index:-179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27.2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64.65pt;z-index:-187;width:507pt;height:79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701" w:x="914" w:y="6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709" w:x="8050" w:y="6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肥厚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炎</w:t>
      </w:r>
    </w:p>
    <w:p>
      <w:pPr>
        <w:pStyle w:val="Normal"/>
        <w:framePr w:w="701" w:x="914" w:y="6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9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3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5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5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938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20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02" w:x="929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63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-0.45,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1397.70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803" w:x="2210" w:y="14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-0.34</w:t>
      </w:r>
    </w:p>
    <w:p>
      <w:pPr>
        <w:pStyle w:val="Normal"/>
        <w:framePr w:w="1810" w:x="9480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5.25pt;margin-top:346.75pt;z-index:-21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86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23.55pt;z-index:-219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65.4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02.95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42.5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80.1pt;z-index:-23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70.7pt;margin-top:740.25pt;z-index:-239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5.95pt;margin-top:742.3pt;z-index:-243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70.35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DOB:29.30</w:t>
      </w:r>
    </w:p>
    <w:p>
      <w:pPr>
        <w:pStyle w:val="Normal"/>
        <w:framePr w:w="2198" w:x="914" w:y="2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7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5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5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5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5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8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86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8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86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86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87.1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114.3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153.7pt;z-index:-2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191.1pt;z-index:-271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986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32mm,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618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935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胸椎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弯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93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213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胸椎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弯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24.1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：江永辉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：江永辉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902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弱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479.5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1.41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4.77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19.61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2.79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14.42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0.201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0.27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312.7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326.35pt;z-index:-40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47.15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60.85pt;z-index:-415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：江永辉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PEPCN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f8661ea-0000-0000-0000-000000000000}"/>
  </w:font>
  <w:font w:name="EIFCWQ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18ebf8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CHQO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315bd3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2898</Words>
  <Characters>6141</Characters>
  <Application>Aspose</Application>
  <DocSecurity>0</DocSecurity>
  <Lines>818</Lines>
  <Paragraphs>818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6548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2019-12-19T16:45:52+08:00</dcterms:created>
  <dcterms:modified xmlns:xsi="http://www.w3.org/2001/XMLSchema-instance" xmlns:dcterms="http://purl.org/dc/terms/" xsi:type="dcterms:W3CDTF">2019-12-19T16:45:52+08:00</dcterms:modified>
</coreProperties>
</file>