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OTOFAH+MicrosoftYaHei" w:hAnsi="OTOFAH+MicrosoftYaHei" w:cs="OTOFAH+MicrosoftYaHei"/>
          <w:color w:val="000000"/>
          <w:spacing w:val="0"/>
          <w:sz w:val="18"/>
        </w:rPr>
      </w:pPr>
      <w:r>
        <w:rPr>
          <w:rFonts w:ascii="OTOFAH+MicrosoftYaHei" w:hAnsi="OTOFAH+MicrosoftYaHei" w:cs="OTOFA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DVTNF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体检日期</w:t>
      </w:r>
      <w:r>
        <w:rPr>
          <w:rFonts w:ascii="UDVTNF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OTOFAH+MicrosoftYaHei" w:hAnsi="OTOFAH+MicrosoftYaHei" w:cs="OTOFAH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姓名</w:t>
      </w:r>
      <w:r>
        <w:rPr>
          <w:rFonts w:ascii="UDVTNF+MicrosoftYaHei"/>
          <w:color w:val="000000"/>
          <w:spacing w:val="0"/>
          <w:sz w:val="22"/>
        </w:rPr>
        <w:t xml:space="preserve">:  </w:t>
      </w:r>
      <w:r>
        <w:rPr>
          <w:rFonts w:ascii="OTOFAH+MicrosoftYaHei" w:hAnsi="OTOFAH+MicrosoftYaHei" w:cs="OTOFAH+MicrosoftYaHei"/>
          <w:color w:val="000000"/>
          <w:spacing w:val="0"/>
          <w:sz w:val="22"/>
        </w:rPr>
        <w:t>梁建华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DVTNF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卡号</w:t>
      </w:r>
      <w:r>
        <w:rPr>
          <w:rFonts w:ascii="UDVTNF+MicrosoftYaHei"/>
          <w:color w:val="000000"/>
          <w:spacing w:val="0"/>
          <w:sz w:val="22"/>
        </w:rPr>
        <w:t xml:space="preserve">:  </w:t>
      </w:r>
      <w:r>
        <w:rPr>
          <w:rFonts w:ascii="UDVTNF+MicrosoftYaHei"/>
          <w:color w:val="000000"/>
          <w:spacing w:val="0"/>
          <w:sz w:val="22"/>
        </w:rPr>
        <w:t>16013890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TOFAH+MicrosoftYaHei" w:hAnsi="OTOFAH+MicrosoftYaHei" w:cs="OTOFAH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性别</w:t>
      </w:r>
      <w:r>
        <w:rPr>
          <w:rFonts w:ascii="UDVTNF+MicrosoftYaHei"/>
          <w:color w:val="000000"/>
          <w:spacing w:val="0"/>
          <w:sz w:val="22"/>
        </w:rPr>
        <w:t xml:space="preserve">: </w:t>
      </w:r>
      <w:r>
        <w:rPr>
          <w:rFonts w:ascii="OTOFAH+MicrosoftYaHei" w:hAnsi="OTOFAH+MicrosoftYaHei" w:cs="OTOFA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TOFAH+MicrosoftYaHei" w:hAnsi="OTOFAH+MicrosoftYaHei" w:cs="OTOFAH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单位</w:t>
      </w:r>
      <w:r>
        <w:rPr>
          <w:rFonts w:ascii="UDVTNF+MicrosoftYaHei"/>
          <w:color w:val="000000"/>
          <w:spacing w:val="0"/>
          <w:sz w:val="22"/>
        </w:rPr>
        <w:t xml:space="preserve">:  </w:t>
      </w:r>
      <w:r>
        <w:rPr>
          <w:rFonts w:ascii="OTOFAH+MicrosoftYaHei" w:hAnsi="OTOFAH+MicrosoftYaHei" w:cs="OTOFA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UDVTNF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部门</w:t>
      </w:r>
      <w:r>
        <w:rPr>
          <w:rFonts w:ascii="UDVTNF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DVTNF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联系方式</w:t>
      </w:r>
      <w:r>
        <w:rPr>
          <w:rFonts w:ascii="UDVTNF+MicrosoftYaHei"/>
          <w:color w:val="000000"/>
          <w:spacing w:val="0"/>
          <w:sz w:val="22"/>
        </w:rPr>
        <w:t>:  136****7838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DVTNF+MicrosoftYaHei"/>
          <w:color w:val="000000"/>
          <w:spacing w:val="0"/>
          <w:sz w:val="22"/>
        </w:rPr>
      </w:pPr>
      <w:r>
        <w:rPr>
          <w:rFonts w:ascii="OTOFAH+MicrosoftYaHei" w:hAnsi="OTOFAH+MicrosoftYaHei" w:cs="OTOFAH+MicrosoftYaHei"/>
          <w:color w:val="000000"/>
          <w:spacing w:val="0"/>
          <w:sz w:val="22"/>
        </w:rPr>
        <w:t>身份证号</w:t>
      </w:r>
      <w:r>
        <w:rPr>
          <w:rFonts w:ascii="UDVTNF+MicrosoftYaHei"/>
          <w:color w:val="000000"/>
          <w:spacing w:val="0"/>
          <w:sz w:val="22"/>
        </w:rPr>
        <w:t>: 110106********3912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OTOFAH+MicrosoftYaHei" w:hAnsi="OTOFAH+MicrosoftYaHei" w:cs="OTOFAH+MicrosoftYaHei"/>
          <w:color w:val="000000"/>
          <w:spacing w:val="0"/>
          <w:sz w:val="28"/>
        </w:rPr>
      </w:pPr>
      <w:r>
        <w:rPr>
          <w:rFonts w:ascii="OTOFAH+MicrosoftYaHei" w:hAnsi="OTOFAH+MicrosoftYaHei" w:cs="OTOFA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OTOFAH+MicrosoftYaHei" w:hAnsi="OTOFAH+MicrosoftYaHei" w:cs="OTOFAH+MicrosoftYaHei"/>
          <w:color w:val="000000"/>
          <w:spacing w:val="0"/>
          <w:sz w:val="28"/>
        </w:rPr>
      </w:pPr>
      <w:r>
        <w:rPr>
          <w:rFonts w:ascii="OTOFAH+MicrosoftYaHei" w:hAnsi="OTOFAH+MicrosoftYaHei" w:cs="OTOFA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尊敬的梁建华先生：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OILEJ+Wingdings-Regular" w:hAnsi="COILEJ+Wingdings-Regular" w:cs="COILEJ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COILEJ+Wingdings-Regular" w:hAnsi="COILEJ+Wingdings-Regular" w:cs="COILEJ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OILEJ+Wingdings-Regular" w:hAnsi="COILEJ+Wingdings-Regular" w:cs="COILEJ+Wingdings-Regular"/>
          <w:color w:val="000000"/>
          <w:spacing w:val="0"/>
          <w:sz w:val="23"/>
        </w:rPr>
      </w:pPr>
      <w:r>
        <w:rPr>
          <w:rFonts w:ascii="COILEJ+Wingdings-Regular" w:hAnsi="COILEJ+Wingdings-Regular" w:cs="COILEJ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梁建华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472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/>
          <w:color w:val="000000"/>
          <w:spacing w:val="0"/>
          <w:sz w:val="22"/>
        </w:rPr>
        <w:t>(7.18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/>
          <w:color w:val="000000"/>
          <w:spacing w:val="0"/>
          <w:sz w:val="22"/>
        </w:rPr>
        <w:t>(6.3 %)</w:t>
      </w:r>
    </w:p>
    <w:p>
      <w:pPr>
        <w:pStyle w:val="Normal"/>
        <w:framePr w:w="10535" w:x="1440" w:y="39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状腺机</w:t>
      </w:r>
      <w:r>
        <w:rPr>
          <w:rFonts w:ascii="FangSong" w:hAnsi="FangSong" w:cs="FangSong"/>
          <w:color w:val="000000"/>
          <w:spacing w:val="0"/>
          <w:sz w:val="22"/>
        </w:rPr>
        <w:t>能亢</w:t>
      </w:r>
      <w:r>
        <w:rPr>
          <w:rFonts w:ascii="FangSong" w:hAnsi="FangSong" w:cs="FangSong"/>
          <w:color w:val="000000"/>
          <w:spacing w:val="0"/>
          <w:sz w:val="22"/>
        </w:rPr>
        <w:t>进、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腺肿瘤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垂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瘤等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可</w:t>
      </w:r>
    </w:p>
    <w:p>
      <w:pPr>
        <w:pStyle w:val="Normal"/>
        <w:framePr w:w="10535" w:x="1440" w:y="397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618" w:x="1190" w:y="4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49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(5.56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(3.67 mmol/L)</w:t>
      </w:r>
    </w:p>
    <w:p>
      <w:pPr>
        <w:pStyle w:val="Normal"/>
        <w:framePr w:w="10151" w:x="1440" w:y="49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49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9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63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6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73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732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841" w:x="1190" w:y="7324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侵犯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牙周组织</w:t>
      </w:r>
      <w:r>
        <w:rPr>
          <w:rFonts w:ascii="FangSong" w:hAnsi="FangSong" w:cs="FangSong"/>
          <w:color w:val="000000"/>
          <w:spacing w:val="0"/>
          <w:sz w:val="22"/>
        </w:rPr>
        <w:t>的一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，常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现为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红肿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408" w:x="1440" w:y="83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牙菌斑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牙石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刺激所致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洁牙养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10408" w:x="1440" w:y="83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早</w:t>
      </w: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92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6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</w:t>
      </w:r>
      <w:r>
        <w:rPr>
          <w:rFonts w:ascii="FangSong" w:hAnsi="FangSong" w:cs="FangSong"/>
          <w:color w:val="000000"/>
          <w:spacing w:val="0"/>
          <w:sz w:val="22"/>
        </w:rPr>
        <w:t>前次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96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571" w:x="1190" w:y="102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1026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10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13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13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11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22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2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3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34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34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090" w:x="1190" w:y="1412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90" w:x="1190" w:y="1412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481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92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92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29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29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3207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31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318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382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487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5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560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13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42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671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0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0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44.4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179cm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23.00,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0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7.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牙龈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2210" w:y="91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牙龈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04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8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839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45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0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902" w:x="1450" w:y="12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1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1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1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91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1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-0.55,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1407.91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-0.48</w:t>
      </w:r>
    </w:p>
    <w:p>
      <w:pPr>
        <w:pStyle w:val="Normal"/>
        <w:framePr w:w="1810" w:x="9480" w:y="14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8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4.8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12.4pt;z-index:-215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60.6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8.05pt;z-index:-223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37.7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75.3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70.7pt;margin-top:735.45pt;z-index:-235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5.95pt;margin-top:737.5pt;z-index:-239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</w:t>
      </w:r>
      <w:r>
        <w:rPr>
          <w:rFonts w:ascii="FangSong" w:hAnsi="FangSong" w:cs="FangSong"/>
          <w:color w:val="000000"/>
          <w:spacing w:val="0"/>
          <w:sz w:val="20"/>
        </w:rPr>
        <w:t>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87.1pt;z-index:-25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125.6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64.85pt;z-index:-2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02.4pt;z-index:-267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29mmx21mm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/>
          <w:color w:val="000000"/>
          <w:spacing w:val="0"/>
          <w:sz w:val="22"/>
        </w:rPr>
        <w:t>,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筛</w:t>
      </w:r>
      <w:r>
        <w:rPr>
          <w:rFonts w:ascii="FangSong" w:hAnsi="FangSong" w:cs="FangSong"/>
          <w:color w:val="000000"/>
          <w:spacing w:val="0"/>
          <w:sz w:val="22"/>
        </w:rPr>
        <w:t>网状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内腺可见</w:t>
      </w:r>
      <w:r>
        <w:rPr>
          <w:rFonts w:ascii="FangSong" w:hAnsi="FangSong" w:cs="FangSong"/>
          <w:color w:val="000000"/>
          <w:spacing w:val="0"/>
          <w:sz w:val="22"/>
        </w:rPr>
        <w:t>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5mmx4mm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粗糙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8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09.3pt;margin-top:146pt;z-index:-291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69.7pt;margin-top:146pt;z-index:-29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655" w:x="2066" w:y="25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3.55pt;margin-top:44.1pt;z-index:-3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25.8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89.7pt;margin-top:146pt;z-index:-327;width:22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66.4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4pt;margin-top:54.15pt;z-index:-3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3.65pt;margin-top:28.95pt;z-index:-3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9.3pt;margin-top:102.05pt;z-index:-3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5.5pt;margin-top:525.05pt;z-index:-3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29.3pt;margin-top:29.95pt;z-index:-35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32.15pt;margin-top:77.25pt;z-index:-36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：梁建华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160.7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174.45pt;z-index:-37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：梁建华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</w:t>
      </w:r>
      <w:r>
        <w:rPr>
          <w:rFonts w:ascii="FangSong" w:hAnsi="FangSong" w:cs="FangSong"/>
          <w:color w:val="000000"/>
          <w:spacing w:val="0"/>
          <w:sz w:val="20"/>
        </w:rPr>
        <w:t>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363.4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1.53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4.99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14.9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3.89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0.48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1.76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312.7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326.35pt;z-index:-40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2.7pt;margin-top:547.15pt;z-index:-4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4.3pt;margin-top:560.85pt;z-index:-41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776.6pt;z-index:-4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0pt;margin-top:0pt;z-index:-4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：梁建华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5" style="position:absolute;margin-left:45.7pt;margin-top:29.95pt;z-index:-4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137.35pt;z-index:-42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776.6pt;z-index:-4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0pt;margin-top:0pt;z-index:-4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TOFA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5d159c8-0000-0000-0000-000000000000}"/>
  </w:font>
  <w:font w:name="UDVTNF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96e873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COILE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f15562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styles" Target="styles.xml" /><Relationship Id="rId111" Type="http://schemas.openxmlformats.org/officeDocument/2006/relationships/fontTable" Target="fontTable.xml" /><Relationship Id="rId112" Type="http://schemas.openxmlformats.org/officeDocument/2006/relationships/settings" Target="settings.xml" /><Relationship Id="rId113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3104</Words>
  <Characters>6429</Characters>
  <Application>Aspose</Application>
  <DocSecurity>0</DocSecurity>
  <Lines>829</Lines>
  <Paragraphs>829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6837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2019-12-19T16:47:59+08:00</dcterms:created>
  <dcterms:modified xmlns:xsi="http://www.w3.org/2001/XMLSchema-instance" xmlns:dcterms="http://purl.org/dc/terms/" xsi:type="dcterms:W3CDTF">2019-12-19T16:47:59+08:00</dcterms:modified>
</coreProperties>
</file>