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18"/>
        </w:rPr>
      </w:pPr>
      <w:r>
        <w:rPr>
          <w:rFonts w:ascii="SLCFOP+MicrosoftYaHei" w:hAnsi="SLCFOP+MicrosoftYaHei" w:cs="SLCFO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OCRCH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体检日期</w:t>
      </w:r>
      <w:r>
        <w:rPr>
          <w:rFonts w:ascii="MOCRCH+MicrosoftYaHei"/>
          <w:color w:val="000000"/>
          <w:spacing w:val="0"/>
          <w:sz w:val="22"/>
        </w:rPr>
        <w:t>:  2018-07-13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姓名</w:t>
      </w:r>
      <w:r>
        <w:rPr>
          <w:rFonts w:ascii="MOCRCH+MicrosoftYaHei"/>
          <w:color w:val="000000"/>
          <w:spacing w:val="0"/>
          <w:sz w:val="22"/>
        </w:rPr>
        <w:t xml:space="preserve">:  </w:t>
      </w:r>
      <w:r>
        <w:rPr>
          <w:rFonts w:ascii="SLCFOP+MicrosoftYaHei" w:hAnsi="SLCFOP+MicrosoftYaHei" w:cs="SLCFOP+MicrosoftYaHei"/>
          <w:color w:val="000000"/>
          <w:spacing w:val="0"/>
          <w:sz w:val="22"/>
        </w:rPr>
        <w:t>张昊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OCRCH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卡号</w:t>
      </w:r>
      <w:r>
        <w:rPr>
          <w:rFonts w:ascii="MOCRCH+MicrosoftYaHei"/>
          <w:color w:val="000000"/>
          <w:spacing w:val="0"/>
          <w:sz w:val="22"/>
        </w:rPr>
        <w:t xml:space="preserve">:  </w:t>
      </w:r>
      <w:r>
        <w:rPr>
          <w:rFonts w:ascii="MOCRCH+MicrosoftYaHei"/>
          <w:color w:val="000000"/>
          <w:spacing w:val="0"/>
          <w:sz w:val="22"/>
        </w:rPr>
        <w:t>16014691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性别</w:t>
      </w:r>
      <w:r>
        <w:rPr>
          <w:rFonts w:ascii="MOCRCH+MicrosoftYaHei"/>
          <w:color w:val="000000"/>
          <w:spacing w:val="0"/>
          <w:sz w:val="22"/>
        </w:rPr>
        <w:t xml:space="preserve">: </w:t>
      </w:r>
      <w:r>
        <w:rPr>
          <w:rFonts w:ascii="SLCFOP+MicrosoftYaHei" w:hAnsi="SLCFOP+MicrosoftYaHei" w:cs="SLCFO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单位</w:t>
      </w:r>
      <w:r>
        <w:rPr>
          <w:rFonts w:ascii="MOCRCH+MicrosoftYaHei"/>
          <w:color w:val="000000"/>
          <w:spacing w:val="0"/>
          <w:sz w:val="22"/>
        </w:rPr>
        <w:t xml:space="preserve">:  </w:t>
      </w:r>
      <w:r>
        <w:rPr>
          <w:rFonts w:ascii="SLCFOP+MicrosoftYaHei" w:hAnsi="SLCFOP+MicrosoftYaHei" w:cs="SLCFO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OCRCH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部门</w:t>
      </w:r>
      <w:r>
        <w:rPr>
          <w:rFonts w:ascii="MOCRC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OCRCH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联系方式</w:t>
      </w:r>
      <w:r>
        <w:rPr>
          <w:rFonts w:ascii="MOCRCH+MicrosoftYaHei"/>
          <w:color w:val="000000"/>
          <w:spacing w:val="0"/>
          <w:sz w:val="22"/>
        </w:rPr>
        <w:t>:  138****5209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OCRCH+MicrosoftYaHei"/>
          <w:color w:val="000000"/>
          <w:spacing w:val="0"/>
          <w:sz w:val="22"/>
        </w:rPr>
      </w:pPr>
      <w:r>
        <w:rPr>
          <w:rFonts w:ascii="SLCFOP+MicrosoftYaHei" w:hAnsi="SLCFOP+MicrosoftYaHei" w:cs="SLCFOP+MicrosoftYaHei"/>
          <w:color w:val="000000"/>
          <w:spacing w:val="0"/>
          <w:sz w:val="22"/>
        </w:rPr>
        <w:t>身份证号</w:t>
      </w:r>
      <w:r>
        <w:rPr>
          <w:rFonts w:ascii="MOCRCH+MicrosoftYaHei"/>
          <w:color w:val="000000"/>
          <w:spacing w:val="0"/>
          <w:sz w:val="22"/>
        </w:rPr>
        <w:t>: 610111********4017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28"/>
        </w:rPr>
      </w:pPr>
      <w:r>
        <w:rPr>
          <w:rFonts w:ascii="SLCFOP+MicrosoftYaHei" w:hAnsi="SLCFOP+MicrosoftYaHei" w:cs="SLCFO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LCFOP+MicrosoftYaHei" w:hAnsi="SLCFOP+MicrosoftYaHei" w:cs="SLCFOP+MicrosoftYaHei"/>
          <w:color w:val="000000"/>
          <w:spacing w:val="0"/>
          <w:sz w:val="28"/>
        </w:rPr>
      </w:pPr>
      <w:r>
        <w:rPr>
          <w:rFonts w:ascii="SLCFOP+MicrosoftYaHei" w:hAnsi="SLCFOP+MicrosoftYaHei" w:cs="SLCFO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尊敬的张昊先生：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HLGTOL+Wingdings-Regular" w:hAnsi="HLGTOL+Wingdings-Regular" w:cs="HLGTOL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HLGTOL+Wingdings-Regular" w:hAnsi="HLGTOL+Wingdings-Regular" w:cs="HLGTOL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HLGTOL+Wingdings-Regular" w:hAnsi="HLGTOL+Wingdings-Regular" w:cs="HLGTOL+Wingdings-Regular"/>
          <w:color w:val="000000"/>
          <w:spacing w:val="0"/>
          <w:sz w:val="23"/>
        </w:rPr>
      </w:pPr>
      <w:r>
        <w:rPr>
          <w:rFonts w:ascii="HLGTOL+Wingdings-Regular" w:hAnsi="HLGTOL+Wingdings-Regular" w:cs="HLGTOL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张昊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967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(2.07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(6.61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(4.98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(0.98 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牙齿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535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73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检查结果：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>(13.53x10^9/L)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(0.87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、中性</w:t>
      </w:r>
      <w:r>
        <w:rPr>
          <w:rFonts w:ascii="FangSong" w:hAnsi="FangSong" w:cs="FangSong"/>
          <w:color w:val="000000"/>
          <w:spacing w:val="0"/>
          <w:sz w:val="22"/>
        </w:rPr>
        <w:t>粒细胞绝</w:t>
      </w:r>
    </w:p>
    <w:p>
      <w:pPr>
        <w:pStyle w:val="Normal"/>
        <w:framePr w:w="10405" w:x="1440" w:y="737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(9.49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</w:p>
    <w:p>
      <w:pPr>
        <w:pStyle w:val="Normal"/>
        <w:framePr w:w="4314" w:x="1440" w:y="794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711" w:x="1190" w:y="83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蛋白增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(183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通气综合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864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602" w:x="1190" w:y="9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(401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962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962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3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8" w:x="1440" w:y="103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8" w:x="1440" w:y="103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112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15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</w:t>
      </w:r>
      <w:r>
        <w:rPr>
          <w:rFonts w:ascii="FangSong" w:hAnsi="FangSong" w:cs="FangSong"/>
          <w:color w:val="000000"/>
          <w:spacing w:val="0"/>
          <w:sz w:val="22"/>
        </w:rPr>
        <w:t>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1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237" w:x="1190" w:y="12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(1.8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2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13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3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(0.24 )[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336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336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4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44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94.4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94.4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24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27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387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5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:2018-07-17</w:t>
      </w:r>
    </w:p>
    <w:p>
      <w:pPr>
        <w:pStyle w:val="Normal"/>
        <w:framePr w:w="1558" w:x="5292" w:y="556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25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82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11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40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6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78.9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24.53,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黄博</w:t>
      </w:r>
      <w:r>
        <w:rPr>
          <w:rFonts w:ascii="FangSong" w:hAnsi="FangSong" w:cs="FangSong"/>
          <w:color w:val="000000"/>
          <w:spacing w:val="0"/>
          <w:sz w:val="20"/>
        </w:rPr>
        <w:t>强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付桂琴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4" w:x="221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914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3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9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608" w:x="9682" w:y="105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3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3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0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2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88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8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1179.13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6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0.09</w:t>
      </w:r>
    </w:p>
    <w:p>
      <w:pPr>
        <w:pStyle w:val="Normal"/>
        <w:framePr w:w="1810" w:x="9480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48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47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45.1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2.7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22.4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9.85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9.9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57.5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DOB:12.40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07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2018-07-13</w:t>
      </w:r>
    </w:p>
    <w:p>
      <w:pPr>
        <w:pStyle w:val="Normal"/>
        <w:framePr w:w="1981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89.7pt;margin-top:146pt;z-index:-27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2018-07-14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</w:t>
      </w:r>
      <w:r>
        <w:rPr>
          <w:rFonts w:ascii="FangSong" w:hAnsi="FangSong" w:cs="FangSong"/>
          <w:color w:val="000000"/>
          <w:spacing w:val="0"/>
          <w:sz w:val="22"/>
        </w:rPr>
        <w:t>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25.8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89.7pt;margin-top:146pt;z-index:-299;width:231.9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24pt;margin-top:54.15pt;z-index:-31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3.65pt;margin-top:28.95pt;z-index:-31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9.3pt;margin-top:102.05pt;z-index:-31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5.5pt;margin-top:525.05pt;z-index:-32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9.3pt;margin-top:29.95pt;z-index:-33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32.15pt;margin-top:77.25pt;z-index:-33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：张昊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13.53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21.1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2.85</w:t>
      </w:r>
    </w:p>
    <w:p>
      <w:pPr>
        <w:pStyle w:val="Normal"/>
        <w:framePr w:w="803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601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160.75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174.45pt;z-index:-35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：张昊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243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4.82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2.07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2.58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17.2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2.25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499" w:x="6398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0.148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0.24</w:t>
      </w:r>
    </w:p>
    <w:p>
      <w:pPr>
        <w:pStyle w:val="Normal"/>
        <w:framePr w:w="499" w:x="6398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3.74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6.77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312.7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326.35pt;z-index:-37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547.1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560.85pt;z-index:-38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16014691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：张昊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131807130020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2018-07-16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LCFO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e2edee5-0000-0000-0000-000000000000}"/>
  </w:font>
  <w:font w:name="MOCRC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cceb16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LGTO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1ea592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styles" Target="styles.xml" /><Relationship Id="rId104" Type="http://schemas.openxmlformats.org/officeDocument/2006/relationships/fontTable" Target="fontTable.xml" /><Relationship Id="rId105" Type="http://schemas.openxmlformats.org/officeDocument/2006/relationships/settings" Target="settings.xml" /><Relationship Id="rId106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2864</Words>
  <Characters>6166</Characters>
  <Application>Aspose</Application>
  <DocSecurity>0</DocSecurity>
  <Lines>824</Lines>
  <Paragraphs>824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6575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2019-12-19T16:56:09+08:00</dcterms:created>
  <dcterms:modified xmlns:xsi="http://www.w3.org/2001/XMLSchema-instance" xmlns:dcterms="http://purl.org/dc/terms/" xsi:type="dcterms:W3CDTF">2019-12-19T16:56:09+08:00</dcterms:modified>
</coreProperties>
</file>