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18"/>
        </w:rPr>
      </w:pPr>
      <w:r>
        <w:rPr>
          <w:rFonts w:ascii="GAFNOD+MicrosoftYaHei" w:hAnsi="GAFNOD+MicrosoftYaHei" w:cs="GAFNOD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SNLW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体检日期</w:t>
      </w:r>
      <w:r>
        <w:rPr>
          <w:rFonts w:ascii="RTSNLW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姓名</w:t>
      </w:r>
      <w:r>
        <w:rPr>
          <w:rFonts w:ascii="RTSNLW+MicrosoftYaHei"/>
          <w:color w:val="000000"/>
          <w:spacing w:val="0"/>
          <w:sz w:val="22"/>
        </w:rPr>
        <w:t xml:space="preserve">:  </w:t>
      </w:r>
      <w:r>
        <w:rPr>
          <w:rFonts w:ascii="GAFNOD+MicrosoftYaHei" w:hAnsi="GAFNOD+MicrosoftYaHei" w:cs="GAFNOD+MicrosoftYaHei"/>
          <w:color w:val="000000"/>
          <w:spacing w:val="0"/>
          <w:sz w:val="22"/>
        </w:rPr>
        <w:t>孙庆水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SNLW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卡号</w:t>
      </w:r>
      <w:r>
        <w:rPr>
          <w:rFonts w:ascii="RTSNLW+MicrosoftYaHei"/>
          <w:color w:val="000000"/>
          <w:spacing w:val="0"/>
          <w:sz w:val="22"/>
        </w:rPr>
        <w:t xml:space="preserve">:  </w:t>
      </w:r>
      <w:r>
        <w:rPr>
          <w:rFonts w:ascii="RTSNLW+MicrosoftYaHei"/>
          <w:color w:val="000000"/>
          <w:spacing w:val="0"/>
          <w:sz w:val="22"/>
        </w:rPr>
        <w:t>16011235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性别</w:t>
      </w:r>
      <w:r>
        <w:rPr>
          <w:rFonts w:ascii="RTSNLW+MicrosoftYaHei"/>
          <w:color w:val="000000"/>
          <w:spacing w:val="0"/>
          <w:sz w:val="22"/>
        </w:rPr>
        <w:t xml:space="preserve">: </w:t>
      </w:r>
      <w:r>
        <w:rPr>
          <w:rFonts w:ascii="GAFNOD+MicrosoftYaHei" w:hAnsi="GAFNOD+MicrosoftYaHei" w:cs="GAFNOD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单位</w:t>
      </w:r>
      <w:r>
        <w:rPr>
          <w:rFonts w:ascii="RTSNLW+MicrosoftYaHei"/>
          <w:color w:val="000000"/>
          <w:spacing w:val="0"/>
          <w:sz w:val="22"/>
        </w:rPr>
        <w:t xml:space="preserve">:  </w:t>
      </w:r>
      <w:r>
        <w:rPr>
          <w:rFonts w:ascii="GAFNOD+MicrosoftYaHei" w:hAnsi="GAFNOD+MicrosoftYaHei" w:cs="GAFNOD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TSNLW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部门</w:t>
      </w:r>
      <w:r>
        <w:rPr>
          <w:rFonts w:ascii="RTSNLW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SNLW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联系方式</w:t>
      </w:r>
      <w:r>
        <w:rPr>
          <w:rFonts w:ascii="RTSNLW+MicrosoftYaHei"/>
          <w:color w:val="000000"/>
          <w:spacing w:val="0"/>
          <w:sz w:val="22"/>
        </w:rPr>
        <w:t>:  132****6278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TSNLW+MicrosoftYaHei"/>
          <w:color w:val="000000"/>
          <w:spacing w:val="0"/>
          <w:sz w:val="22"/>
        </w:rPr>
      </w:pPr>
      <w:r>
        <w:rPr>
          <w:rFonts w:ascii="GAFNOD+MicrosoftYaHei" w:hAnsi="GAFNOD+MicrosoftYaHei" w:cs="GAFNOD+MicrosoftYaHei"/>
          <w:color w:val="000000"/>
          <w:spacing w:val="0"/>
          <w:sz w:val="22"/>
        </w:rPr>
        <w:t>身份证号</w:t>
      </w:r>
      <w:r>
        <w:rPr>
          <w:rFonts w:ascii="RTSNLW+MicrosoftYaHei"/>
          <w:color w:val="000000"/>
          <w:spacing w:val="0"/>
          <w:sz w:val="22"/>
        </w:rPr>
        <w:t>: 372501********2032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28"/>
        </w:rPr>
      </w:pPr>
      <w:r>
        <w:rPr>
          <w:rFonts w:ascii="GAFNOD+MicrosoftYaHei" w:hAnsi="GAFNOD+MicrosoftYaHei" w:cs="GAFNOD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AFNOD+MicrosoftYaHei" w:hAnsi="GAFNOD+MicrosoftYaHei" w:cs="GAFNOD+MicrosoftYaHei"/>
          <w:color w:val="000000"/>
          <w:spacing w:val="0"/>
          <w:sz w:val="28"/>
        </w:rPr>
      </w:pPr>
      <w:r>
        <w:rPr>
          <w:rFonts w:ascii="GAFNOD+MicrosoftYaHei" w:hAnsi="GAFNOD+MicrosoftYaHei" w:cs="GAFNOD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尊敬的孙庆水先生：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DHCOW+Wingdings-Regular" w:hAnsi="LDHCOW+Wingdings-Regular" w:cs="LDHCOW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DHCOW+Wingdings-Regular" w:hAnsi="LDHCOW+Wingdings-Regular" w:cs="LDHCOW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DHCOW+Wingdings-Regular" w:hAnsi="LDHCOW+Wingdings-Regular" w:cs="LDHCOW+Wingdings-Regular"/>
          <w:color w:val="000000"/>
          <w:spacing w:val="0"/>
          <w:sz w:val="23"/>
        </w:rPr>
      </w:pPr>
      <w:r>
        <w:rPr>
          <w:rFonts w:ascii="LDHCOW+Wingdings-Regular" w:hAnsi="LDHCOW+Wingdings-Regular" w:cs="LDHCOW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孙庆水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1069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状腺右叶下极低回声区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？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状旁腺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？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4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4729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(6.14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856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437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(2.38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(0.78 mmol/L)</w:t>
      </w:r>
    </w:p>
    <w:p>
      <w:pPr>
        <w:pStyle w:val="Normal"/>
        <w:framePr w:w="10151" w:x="1440" w:y="437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437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</w:t>
      </w:r>
      <w:r>
        <w:rPr>
          <w:rFonts w:ascii="FangSong" w:hAnsi="FangSong" w:cs="FangSong"/>
          <w:color w:val="000000"/>
          <w:spacing w:val="0"/>
          <w:sz w:val="22"/>
        </w:rPr>
        <w:t>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08" w:x="1440" w:y="61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70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602" w:x="1190" w:y="7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小板计数增多</w:t>
      </w:r>
      <w:r>
        <w:rPr>
          <w:rFonts w:ascii="FangSong"/>
          <w:color w:val="000000"/>
          <w:spacing w:val="0"/>
          <w:sz w:val="22"/>
        </w:rPr>
        <w:t xml:space="preserve">(385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296" w:x="1190" w:y="77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弱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846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95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58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2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62.9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62.9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30.01,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9.9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7.2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64.65pt;z-index:-175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1" w:x="1450" w:y="12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9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198" w:x="91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329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30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67.45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68.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405.9pt;z-index:-203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47.7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85.3pt;z-index:-211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24.9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62.5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700.9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8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17mmx13mm</w:t>
      </w:r>
    </w:p>
    <w:p>
      <w:pPr>
        <w:pStyle w:val="Normal"/>
        <w:framePr w:w="7745" w:x="4150" w:y="103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流环绕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</w:p>
    <w:p>
      <w:pPr>
        <w:pStyle w:val="Normal"/>
        <w:framePr w:w="7745" w:x="4150" w:y="1039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7745" w:x="4150" w:y="111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状腺右叶下极</w:t>
      </w:r>
      <w:r>
        <w:rPr>
          <w:rFonts w:ascii="FangSong" w:hAnsi="FangSong" w:cs="FangSong"/>
          <w:color w:val="000000"/>
          <w:spacing w:val="0"/>
          <w:sz w:val="22"/>
        </w:rPr>
        <w:t>背侧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低回声区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19mm</w:t>
      </w:r>
    </w:p>
    <w:p>
      <w:pPr>
        <w:pStyle w:val="Normal"/>
        <w:framePr w:w="7745" w:x="4150" w:y="1114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114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395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;</w:t>
      </w:r>
    </w:p>
    <w:p>
      <w:pPr>
        <w:pStyle w:val="Normal"/>
        <w:framePr w:w="9395" w:x="2066" w:y="127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状腺右叶下极低回声区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？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状旁腺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？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4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1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4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.7pt;margin-top:146pt;z-index:-24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209.3pt;margin-top:146pt;z-index:-24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369.7pt;margin-top:146pt;z-index:-25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：孙庆水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89.7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339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：孙庆水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902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弱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7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</w:t>
      </w:r>
      <w:r>
        <w:rPr>
          <w:rFonts w:ascii="FangSong" w:hAnsi="FangSong" w:cs="FangSong"/>
          <w:color w:val="000000"/>
          <w:spacing w:val="0"/>
          <w:sz w:val="20"/>
        </w:rPr>
        <w:t>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500" w:x="515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0.82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6.38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17.42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8.66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0.136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2.82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312.7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326.35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47.15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60.85pt;z-index:-32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：孙庆水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4" style="position:absolute;margin-left:45.7pt;margin-top:29.95pt;z-index:-3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137.35pt;z-index:-34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76.6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AFNOD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bc56fe8-0000-0000-0000-000000000000}"/>
  </w:font>
  <w:font w:name="RTSNLW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b5cdb9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DHCO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aec354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styles" Target="styles.xml" /><Relationship Id="rId9" Type="http://schemas.openxmlformats.org/officeDocument/2006/relationships/image" Target="media/image9.jpeg" /><Relationship Id="rId90" Type="http://schemas.openxmlformats.org/officeDocument/2006/relationships/fontTable" Target="fontTable.xml" /><Relationship Id="rId91" Type="http://schemas.openxmlformats.org/officeDocument/2006/relationships/settings" Target="settings.xml" /><Relationship Id="rId92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2366</Words>
  <Characters>5174</Characters>
  <Application>Aspose</Application>
  <DocSecurity>0</DocSecurity>
  <Lines>746</Lines>
  <Paragraphs>746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5565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2019-12-19T17:00:43+08:00</dcterms:created>
  <dcterms:modified xmlns:xsi="http://www.w3.org/2001/XMLSchema-instance" xmlns:dcterms="http://purl.org/dc/terms/" xsi:type="dcterms:W3CDTF">2019-12-19T17:00:43+08:00</dcterms:modified>
</coreProperties>
</file>