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FILGEG+MicrosoftYaHei" w:hAnsi="FILGEG+MicrosoftYaHei" w:cs="FILGEG+MicrosoftYaHei"/>
          <w:color w:val="000000"/>
          <w:spacing w:val="0"/>
          <w:sz w:val="18"/>
        </w:rPr>
      </w:pPr>
      <w:r>
        <w:rPr>
          <w:rFonts w:ascii="FILGEG+MicrosoftYaHei" w:hAnsi="FILGEG+MicrosoftYaHei" w:cs="FILGEG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VLWLK+MicrosoftYaHei"/>
          <w:color w:val="000000"/>
          <w:spacing w:val="0"/>
          <w:sz w:val="22"/>
        </w:rPr>
      </w:pPr>
      <w:r>
        <w:rPr>
          <w:rFonts w:ascii="FILGEG+MicrosoftYaHei" w:hAnsi="FILGEG+MicrosoftYaHei" w:cs="FILGEG+MicrosoftYaHei"/>
          <w:color w:val="000000"/>
          <w:spacing w:val="0"/>
          <w:sz w:val="22"/>
        </w:rPr>
        <w:t>体检日期</w:t>
      </w:r>
      <w:r>
        <w:rPr>
          <w:rFonts w:ascii="TVLWLK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FILGEG+MicrosoftYaHei" w:hAnsi="FILGEG+MicrosoftYaHei" w:cs="FILGEG+MicrosoftYaHei"/>
          <w:color w:val="000000"/>
          <w:spacing w:val="0"/>
          <w:sz w:val="22"/>
        </w:rPr>
      </w:pPr>
      <w:r>
        <w:rPr>
          <w:rFonts w:ascii="FILGEG+MicrosoftYaHei" w:hAnsi="FILGEG+MicrosoftYaHei" w:cs="FILGEG+MicrosoftYaHei"/>
          <w:color w:val="000000"/>
          <w:spacing w:val="0"/>
          <w:sz w:val="22"/>
        </w:rPr>
        <w:t>姓名</w:t>
      </w:r>
      <w:r>
        <w:rPr>
          <w:rFonts w:ascii="TVLWLK+MicrosoftYaHei"/>
          <w:color w:val="000000"/>
          <w:spacing w:val="0"/>
          <w:sz w:val="22"/>
        </w:rPr>
        <w:t xml:space="preserve">:  </w:t>
      </w:r>
      <w:r>
        <w:rPr>
          <w:rFonts w:ascii="FILGEG+MicrosoftYaHei" w:hAnsi="FILGEG+MicrosoftYaHei" w:cs="FILGEG+MicrosoftYaHei"/>
          <w:color w:val="000000"/>
          <w:spacing w:val="0"/>
          <w:sz w:val="22"/>
        </w:rPr>
        <w:t>周松涛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VLWLK+MicrosoftYaHei"/>
          <w:color w:val="000000"/>
          <w:spacing w:val="0"/>
          <w:sz w:val="22"/>
        </w:rPr>
      </w:pPr>
      <w:r>
        <w:rPr>
          <w:rFonts w:ascii="FILGEG+MicrosoftYaHei" w:hAnsi="FILGEG+MicrosoftYaHei" w:cs="FILGEG+MicrosoftYaHei"/>
          <w:color w:val="000000"/>
          <w:spacing w:val="0"/>
          <w:sz w:val="22"/>
        </w:rPr>
        <w:t>卡号</w:t>
      </w:r>
      <w:r>
        <w:rPr>
          <w:rFonts w:ascii="TVLWLK+MicrosoftYaHei"/>
          <w:color w:val="000000"/>
          <w:spacing w:val="0"/>
          <w:sz w:val="22"/>
        </w:rPr>
        <w:t xml:space="preserve">:  </w:t>
      </w:r>
      <w:r>
        <w:rPr>
          <w:rFonts w:ascii="TVLWLK+MicrosoftYaHei"/>
          <w:color w:val="000000"/>
          <w:spacing w:val="0"/>
          <w:sz w:val="22"/>
        </w:rPr>
        <w:t>16013877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ILGEG+MicrosoftYaHei" w:hAnsi="FILGEG+MicrosoftYaHei" w:cs="FILGEG+MicrosoftYaHei"/>
          <w:color w:val="000000"/>
          <w:spacing w:val="0"/>
          <w:sz w:val="22"/>
        </w:rPr>
      </w:pPr>
      <w:r>
        <w:rPr>
          <w:rFonts w:ascii="FILGEG+MicrosoftYaHei" w:hAnsi="FILGEG+MicrosoftYaHei" w:cs="FILGEG+MicrosoftYaHei"/>
          <w:color w:val="000000"/>
          <w:spacing w:val="0"/>
          <w:sz w:val="22"/>
        </w:rPr>
        <w:t>性别</w:t>
      </w:r>
      <w:r>
        <w:rPr>
          <w:rFonts w:ascii="TVLWLK+MicrosoftYaHei"/>
          <w:color w:val="000000"/>
          <w:spacing w:val="0"/>
          <w:sz w:val="22"/>
        </w:rPr>
        <w:t xml:space="preserve">: </w:t>
      </w:r>
      <w:r>
        <w:rPr>
          <w:rFonts w:ascii="FILGEG+MicrosoftYaHei" w:hAnsi="FILGEG+MicrosoftYaHei" w:cs="FILGEG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ILGEG+MicrosoftYaHei" w:hAnsi="FILGEG+MicrosoftYaHei" w:cs="FILGEG+MicrosoftYaHei"/>
          <w:color w:val="000000"/>
          <w:spacing w:val="0"/>
          <w:sz w:val="22"/>
        </w:rPr>
      </w:pPr>
      <w:r>
        <w:rPr>
          <w:rFonts w:ascii="FILGEG+MicrosoftYaHei" w:hAnsi="FILGEG+MicrosoftYaHei" w:cs="FILGEG+MicrosoftYaHei"/>
          <w:color w:val="000000"/>
          <w:spacing w:val="0"/>
          <w:sz w:val="22"/>
        </w:rPr>
        <w:t>单位</w:t>
      </w:r>
      <w:r>
        <w:rPr>
          <w:rFonts w:ascii="TVLWLK+MicrosoftYaHei"/>
          <w:color w:val="000000"/>
          <w:spacing w:val="0"/>
          <w:sz w:val="22"/>
        </w:rPr>
        <w:t xml:space="preserve">:  </w:t>
      </w:r>
      <w:r>
        <w:rPr>
          <w:rFonts w:ascii="FILGEG+MicrosoftYaHei" w:hAnsi="FILGEG+MicrosoftYaHei" w:cs="FILGEG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VLWLK+MicrosoftYaHei"/>
          <w:color w:val="000000"/>
          <w:spacing w:val="0"/>
          <w:sz w:val="22"/>
        </w:rPr>
      </w:pPr>
      <w:r>
        <w:rPr>
          <w:rFonts w:ascii="FILGEG+MicrosoftYaHei" w:hAnsi="FILGEG+MicrosoftYaHei" w:cs="FILGEG+MicrosoftYaHei"/>
          <w:color w:val="000000"/>
          <w:spacing w:val="0"/>
          <w:sz w:val="22"/>
        </w:rPr>
        <w:t>部门</w:t>
      </w:r>
      <w:r>
        <w:rPr>
          <w:rFonts w:ascii="TVLWLK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VLWLK+MicrosoftYaHei"/>
          <w:color w:val="000000"/>
          <w:spacing w:val="0"/>
          <w:sz w:val="22"/>
        </w:rPr>
      </w:pPr>
      <w:r>
        <w:rPr>
          <w:rFonts w:ascii="FILGEG+MicrosoftYaHei" w:hAnsi="FILGEG+MicrosoftYaHei" w:cs="FILGEG+MicrosoftYaHei"/>
          <w:color w:val="000000"/>
          <w:spacing w:val="0"/>
          <w:sz w:val="22"/>
        </w:rPr>
        <w:t>联系方式</w:t>
      </w:r>
      <w:r>
        <w:rPr>
          <w:rFonts w:ascii="TVLWLK+MicrosoftYaHei"/>
          <w:color w:val="000000"/>
          <w:spacing w:val="0"/>
          <w:sz w:val="22"/>
        </w:rPr>
        <w:t>:  135****7798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VLWLK+MicrosoftYaHei"/>
          <w:color w:val="000000"/>
          <w:spacing w:val="0"/>
          <w:sz w:val="22"/>
        </w:rPr>
      </w:pPr>
      <w:r>
        <w:rPr>
          <w:rFonts w:ascii="FILGEG+MicrosoftYaHei" w:hAnsi="FILGEG+MicrosoftYaHei" w:cs="FILGEG+MicrosoftYaHei"/>
          <w:color w:val="000000"/>
          <w:spacing w:val="0"/>
          <w:sz w:val="22"/>
        </w:rPr>
        <w:t>身份证号</w:t>
      </w:r>
      <w:r>
        <w:rPr>
          <w:rFonts w:ascii="TVLWLK+MicrosoftYaHei"/>
          <w:color w:val="000000"/>
          <w:spacing w:val="0"/>
          <w:sz w:val="22"/>
        </w:rPr>
        <w:t>: 310110********0016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ILGEG+MicrosoftYaHei" w:hAnsi="FILGEG+MicrosoftYaHei" w:cs="FILGEG+MicrosoftYaHei"/>
          <w:color w:val="000000"/>
          <w:spacing w:val="0"/>
          <w:sz w:val="28"/>
        </w:rPr>
      </w:pPr>
      <w:r>
        <w:rPr>
          <w:rFonts w:ascii="FILGEG+MicrosoftYaHei" w:hAnsi="FILGEG+MicrosoftYaHei" w:cs="FILGEG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ILGEG+MicrosoftYaHei" w:hAnsi="FILGEG+MicrosoftYaHei" w:cs="FILGEG+MicrosoftYaHei"/>
          <w:color w:val="000000"/>
          <w:spacing w:val="0"/>
          <w:sz w:val="28"/>
        </w:rPr>
      </w:pPr>
      <w:r>
        <w:rPr>
          <w:rFonts w:ascii="FILGEG+MicrosoftYaHei" w:hAnsi="FILGEG+MicrosoftYaHei" w:cs="FILGEG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尊敬的周松涛先生：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SMLLJC+Wingdings-Regular" w:hAnsi="SMLLJC+Wingdings-Regular" w:cs="SMLLJC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MLLJC+Wingdings-Regular" w:hAnsi="SMLLJC+Wingdings-Regular" w:cs="SMLLJC+Wingdings-Regular"/>
          <w:color w:val="000000"/>
          <w:spacing w:val="0"/>
          <w:sz w:val="23"/>
        </w:rPr>
      </w:pPr>
      <w:r>
        <w:rPr>
          <w:rFonts w:ascii="SMLLJC+Wingdings-Regular" w:hAnsi="SMLLJC+Wingdings-Regular" w:cs="SMLLJC+Wingdings-Regular"/>
          <w:color w:val="000000"/>
          <w:spacing w:val="0"/>
          <w:sz w:val="23"/>
        </w:rPr>
        <w:t>ü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379" w:lineRule="exact"/>
        <w:ind w:left="0" w:right="0" w:first-line="0"/>
        <w:jc w:val="left"/>
        <w:rPr>
          <w:rFonts w:ascii="SMLLJC+Wingdings-Regular" w:hAnsi="SMLLJC+Wingdings-Regular" w:cs="SMLLJC+Wingdings-Regular"/>
          <w:color w:val="000000"/>
          <w:spacing w:val="0"/>
          <w:sz w:val="23"/>
        </w:rPr>
      </w:pPr>
      <w:r>
        <w:rPr>
          <w:rFonts w:ascii="SMLLJC+Wingdings-Regular" w:hAnsi="SMLLJC+Wingdings-Regular" w:cs="SMLLJC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MLLJC+Wingdings-Regular" w:hAnsi="SMLLJC+Wingdings-Regular" w:cs="SMLLJC+Wingdings-Regular"/>
          <w:color w:val="000000"/>
          <w:spacing w:val="0"/>
          <w:sz w:val="23"/>
        </w:rPr>
      </w:pPr>
      <w:r>
        <w:rPr>
          <w:rFonts w:ascii="SMLLJC+Wingdings-Regular" w:hAnsi="SMLLJC+Wingdings-Regular" w:cs="SMLLJC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周松涛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(6.15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地</w:t>
      </w:r>
      <w:r>
        <w:rPr>
          <w:rFonts w:ascii="FangSong" w:hAnsi="FangSong" w:cs="FangSong"/>
          <w:color w:val="000000"/>
          <w:spacing w:val="0"/>
          <w:sz w:val="22"/>
        </w:rPr>
        <w:t>控制饮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92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(2.8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2" w:x="1440" w:y="46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类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著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10532" w:x="1440" w:y="466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腺炎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原则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首</w:t>
      </w:r>
      <w:r>
        <w:rPr>
          <w:rFonts w:ascii="FangSong" w:hAnsi="FangSong" w:cs="FangSong"/>
          <w:color w:val="000000"/>
          <w:spacing w:val="0"/>
          <w:sz w:val="22"/>
        </w:rPr>
        <w:t>先</w:t>
      </w:r>
      <w:r>
        <w:rPr>
          <w:rFonts w:ascii="FangSong" w:hAnsi="FangSong" w:cs="FangSong"/>
          <w:color w:val="000000"/>
          <w:spacing w:val="0"/>
          <w:sz w:val="22"/>
        </w:rPr>
        <w:t>应由专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求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，根据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分级治</w:t>
      </w:r>
    </w:p>
    <w:p>
      <w:pPr>
        <w:pStyle w:val="Normal"/>
        <w:framePr w:w="10532" w:x="1440" w:y="466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建</w:t>
      </w:r>
      <w:r>
        <w:rPr>
          <w:rFonts w:ascii="FangSong" w:hAnsi="FangSong" w:cs="FangSong"/>
          <w:color w:val="000000"/>
          <w:spacing w:val="0"/>
          <w:sz w:val="22"/>
        </w:rPr>
        <w:t>立</w:t>
      </w:r>
      <w:r>
        <w:rPr>
          <w:rFonts w:ascii="FangSong" w:hAnsi="FangSong" w:cs="FangSong"/>
          <w:color w:val="000000"/>
          <w:spacing w:val="0"/>
          <w:sz w:val="22"/>
        </w:rPr>
        <w:t>健康的生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17" w:x="1579" w:y="5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3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73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41" w:x="1190" w:y="80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8000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咽反射</w:t>
      </w:r>
      <w:r>
        <w:rPr>
          <w:rFonts w:ascii="FangSong" w:hAnsi="FangSong" w:cs="FangSong"/>
          <w:color w:val="000000"/>
          <w:spacing w:val="0"/>
          <w:sz w:val="22"/>
        </w:rPr>
        <w:t>敏</w:t>
      </w:r>
      <w:r>
        <w:rPr>
          <w:rFonts w:ascii="FangSong" w:hAnsi="FangSong" w:cs="FangSong"/>
          <w:color w:val="000000"/>
          <w:spacing w:val="0"/>
          <w:sz w:val="22"/>
        </w:rPr>
        <w:t>感，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841" w:x="1190" w:y="8000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4.T</w:t>
      </w:r>
      <w:r>
        <w:rPr>
          <w:rFonts w:ascii="FangSong" w:hAnsi="FangSong" w:cs="FangSong"/>
          <w:color w:val="000000"/>
          <w:spacing w:val="0"/>
          <w:sz w:val="22"/>
        </w:rPr>
        <w:t>波改变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0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/>
          <w:color w:val="000000"/>
          <w:spacing w:val="0"/>
          <w:sz w:val="22"/>
        </w:rPr>
        <w:t>T</w:t>
      </w:r>
      <w:r>
        <w:rPr>
          <w:rFonts w:ascii="FangSong" w:hAnsi="FangSong" w:cs="FangSong"/>
          <w:color w:val="000000"/>
          <w:spacing w:val="0"/>
          <w:sz w:val="22"/>
        </w:rPr>
        <w:t>波改变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很多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植</w:t>
      </w:r>
      <w:r>
        <w:rPr>
          <w:rFonts w:ascii="FangSong" w:hAnsi="FangSong" w:cs="FangSong"/>
          <w:color w:val="000000"/>
          <w:spacing w:val="0"/>
          <w:sz w:val="22"/>
        </w:rPr>
        <w:t>物神</w:t>
      </w:r>
      <w:r>
        <w:rPr>
          <w:rFonts w:ascii="FangSong" w:hAnsi="FangSong" w:cs="FangSong"/>
          <w:color w:val="000000"/>
          <w:spacing w:val="0"/>
          <w:sz w:val="22"/>
        </w:rPr>
        <w:t>经</w:t>
      </w:r>
      <w:r>
        <w:rPr>
          <w:rFonts w:ascii="FangSong" w:hAnsi="FangSong" w:cs="FangSong"/>
          <w:color w:val="000000"/>
          <w:spacing w:val="0"/>
          <w:sz w:val="22"/>
        </w:rPr>
        <w:t>功</w:t>
      </w:r>
    </w:p>
    <w:p>
      <w:pPr>
        <w:pStyle w:val="Normal"/>
        <w:framePr w:w="10538" w:x="1440" w:y="90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失调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药物影响等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9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0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杂</w:t>
      </w:r>
      <w:r>
        <w:rPr>
          <w:rFonts w:ascii="FangSong" w:hAnsi="FangSong" w:cs="FangSong"/>
          <w:color w:val="000000"/>
          <w:spacing w:val="0"/>
          <w:sz w:val="22"/>
        </w:rPr>
        <w:t>，部分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等因素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多饮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</w:p>
    <w:p>
      <w:pPr>
        <w:pStyle w:val="Normal"/>
        <w:framePr w:w="10411" w:x="1440" w:y="100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106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109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109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116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(517.4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19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男</w:t>
      </w:r>
    </w:p>
    <w:p>
      <w:pPr>
        <w:pStyle w:val="Normal"/>
        <w:framePr w:w="10538" w:x="1440" w:y="119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119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119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32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014" w:x="1190" w:y="136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538" w:x="1440" w:y="139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劳</w:t>
      </w:r>
      <w:r>
        <w:rPr>
          <w:rFonts w:ascii="FangSong" w:hAnsi="FangSong" w:cs="FangSong"/>
          <w:color w:val="000000"/>
          <w:spacing w:val="0"/>
          <w:sz w:val="22"/>
        </w:rPr>
        <w:t>动者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10538" w:x="1440" w:y="1398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8" w:x="1440" w:y="139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缓或伴胸闷气</w:t>
      </w:r>
      <w:r>
        <w:rPr>
          <w:rFonts w:ascii="FangSong" w:hAnsi="FangSong" w:cs="FangSong"/>
          <w:color w:val="000000"/>
          <w:spacing w:val="0"/>
          <w:sz w:val="22"/>
        </w:rPr>
        <w:t>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77.1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77.1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56.8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56.8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2345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过量</w:t>
      </w:r>
      <w:r>
        <w:rPr>
          <w:rFonts w:ascii="FangSong" w:hAnsi="FangSong" w:cs="FangSong"/>
          <w:color w:val="000000"/>
          <w:spacing w:val="0"/>
          <w:sz w:val="22"/>
        </w:rPr>
        <w:t>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疏</w:t>
      </w:r>
      <w:r>
        <w:rPr>
          <w:rFonts w:ascii="FangSong" w:hAnsi="FangSong" w:cs="FangSong"/>
          <w:color w:val="000000"/>
          <w:spacing w:val="0"/>
          <w:sz w:val="22"/>
        </w:rPr>
        <w:t>松。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953" w:x="1190" w:y="2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3" w:x="1190" w:y="2123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27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08" w:x="1440" w:y="275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33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583" w:x="1440" w:y="373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48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485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54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654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72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7230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78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809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838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86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867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</w:t>
      </w:r>
      <w:r>
        <w:rPr>
          <w:rFonts w:ascii="FangSong" w:hAnsi="FangSong" w:cs="FangSong"/>
          <w:color w:val="000000"/>
          <w:spacing w:val="0"/>
          <w:sz w:val="22"/>
        </w:rPr>
        <w:t>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327.8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75.4Kg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25.79,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2008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125/80mmHg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1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4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9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4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45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4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4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4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8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6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31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60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8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8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3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34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8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94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65.5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03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71.05pt;z-index:-179;width:506.65pt;height:61.9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1.2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88.7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6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609" w:x="2210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8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609" w:x="2210" w:y="1187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波改变</w:t>
      </w:r>
    </w:p>
    <w:p>
      <w:pPr>
        <w:pStyle w:val="Normal"/>
        <w:framePr w:w="1810" w:x="9480" w:y="126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1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4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1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-1.98,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1352.65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1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-1.88</w:t>
      </w:r>
    </w:p>
    <w:p>
      <w:pPr>
        <w:pStyle w:val="Normal"/>
        <w:framePr w:w="1810" w:x="9480" w:y="14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562"/>
        <w:widowControl w:val="off"/>
        <w:autoSpaceDE w:val="off"/>
        <w:autoSpaceDN w:val="off"/>
        <w:spacing w:before="0" w:after="0" w:line="111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1" w:x="1450" w:y="150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4.85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12.4pt;z-index:-21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4.1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91.7pt;z-index:-223;width:507pt;height:39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49.0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86.5pt;z-index:-231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70.7pt;margin-top:746.6pt;z-index:-235;width:537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5.95pt;margin-top:748.75pt;z-index:-239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</w:t>
      </w:r>
      <w:r>
        <w:rPr>
          <w:rFonts w:ascii="FangSong" w:hAnsi="FangSong" w:cs="FangSong"/>
          <w:color w:val="000000"/>
          <w:spacing w:val="0"/>
          <w:sz w:val="20"/>
        </w:rPr>
        <w:t>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87.1pt;z-index:-25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5.25pt;margin-top:125.6pt;z-index:-25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64.85pt;z-index:-2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02.4pt;z-index:-267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70.35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765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364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1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23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</w:p>
    <w:p>
      <w:pPr>
        <w:pStyle w:val="Normal"/>
        <w:framePr w:w="7618" w:x="4150" w:y="123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3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3174" w:x="2066" w:y="1329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</w:p>
    <w:p>
      <w:pPr>
        <w:pStyle w:val="Normal"/>
        <w:framePr w:w="1434" w:x="1975" w:y="14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7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14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25.8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189.7pt;margin-top:146pt;z-index:-287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25.85pt;z-index:-30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189.7pt;margin-top:146pt;z-index:-307;width:232.55pt;height:220.4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24pt;margin-top:54.15pt;z-index:-31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3.65pt;margin-top:28.95pt;z-index:-32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9.3pt;margin-top:102.05pt;z-index:-32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5.5pt;margin-top:525.05pt;z-index:-33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9.3pt;margin-top:29.95pt;z-index:-33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32.15pt;margin-top:77.25pt;z-index:-34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：周松涛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53.8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225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45.7pt;margin-top:29.95pt;z-index:-3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137.35pt;z-index:-3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2.7pt;margin-top:160.75pt;z-index:-3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4.3pt;margin-top:174.45pt;z-index:-35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776.6pt;z-index:-3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：周松涛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6.76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517.4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2.02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16.05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2.58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12.61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1.193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0.362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62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4.57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4.21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312.7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326.35pt;z-index:-38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547.15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560.85pt;z-index:-391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776.6pt;z-index:-3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0pt;margin-top:0pt;z-index:-3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16013877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：周松涛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0" style="position:absolute;margin-left:45.7pt;margin-top:29.95pt;z-index:-4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137.35pt;z-index:-407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ILGEG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d0e0fec-0000-0000-0000-000000000000}"/>
  </w:font>
  <w:font w:name="TVLWLK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f9b6001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MLLJC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8807cc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styles" Target="styles.xml" /><Relationship Id="rId106" Type="http://schemas.openxmlformats.org/officeDocument/2006/relationships/fontTable" Target="fontTable.xml" /><Relationship Id="rId107" Type="http://schemas.openxmlformats.org/officeDocument/2006/relationships/settings" Target="settings.xml" /><Relationship Id="rId108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3104</Words>
  <Characters>6370</Characters>
  <Application>Aspose</Application>
  <DocSecurity>0</DocSecurity>
  <Lines>826</Lines>
  <Paragraphs>826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6772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2019-12-19T17:00:54+08:00</dcterms:created>
  <dcterms:modified xmlns:xsi="http://www.w3.org/2001/XMLSchema-instance" xmlns:dcterms="http://purl.org/dc/terms/" xsi:type="dcterms:W3CDTF">2019-12-19T17:00:54+08:00</dcterms:modified>
</coreProperties>
</file>