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WHHWCH+MicrosoftYaHei" w:hAnsi="WHHWCH+MicrosoftYaHei" w:cs="WHHWCH+MicrosoftYaHei"/>
          <w:color w:val="000000"/>
          <w:spacing w:val="0"/>
          <w:sz w:val="18"/>
        </w:rPr>
      </w:pPr>
      <w:r>
        <w:rPr>
          <w:rFonts w:ascii="WHHWCH+MicrosoftYaHei" w:hAnsi="WHHWCH+MicrosoftYaHei" w:cs="WHHWC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LGDP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体检日期</w:t>
      </w:r>
      <w:r>
        <w:rPr>
          <w:rFonts w:ascii="FTLGDP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WHHWCH+MicrosoftYaHei" w:hAnsi="WHHWCH+MicrosoftYaHei" w:cs="WHHWCH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姓名</w:t>
      </w:r>
      <w:r>
        <w:rPr>
          <w:rFonts w:ascii="FTLGDP+MicrosoftYaHei"/>
          <w:color w:val="000000"/>
          <w:spacing w:val="0"/>
          <w:sz w:val="22"/>
        </w:rPr>
        <w:t xml:space="preserve">:  </w:t>
      </w:r>
      <w:r>
        <w:rPr>
          <w:rFonts w:ascii="WHHWCH+MicrosoftYaHei" w:hAnsi="WHHWCH+MicrosoftYaHei" w:cs="WHHWCH+MicrosoftYaHei"/>
          <w:color w:val="000000"/>
          <w:spacing w:val="0"/>
          <w:sz w:val="22"/>
        </w:rPr>
        <w:t>陈大力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LGDP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卡号</w:t>
      </w:r>
      <w:r>
        <w:rPr>
          <w:rFonts w:ascii="FTLGDP+MicrosoftYaHei"/>
          <w:color w:val="000000"/>
          <w:spacing w:val="0"/>
          <w:sz w:val="22"/>
        </w:rPr>
        <w:t xml:space="preserve">:  </w:t>
      </w:r>
      <w:r>
        <w:rPr>
          <w:rFonts w:ascii="FTLGDP+MicrosoftYaHei"/>
          <w:color w:val="000000"/>
          <w:spacing w:val="0"/>
          <w:sz w:val="22"/>
        </w:rPr>
        <w:t>16100474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HHWCH+MicrosoftYaHei" w:hAnsi="WHHWCH+MicrosoftYaHei" w:cs="WHHWCH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性别</w:t>
      </w:r>
      <w:r>
        <w:rPr>
          <w:rFonts w:ascii="FTLGDP+MicrosoftYaHei"/>
          <w:color w:val="000000"/>
          <w:spacing w:val="0"/>
          <w:sz w:val="22"/>
        </w:rPr>
        <w:t xml:space="preserve">: </w:t>
      </w:r>
      <w:r>
        <w:rPr>
          <w:rFonts w:ascii="WHHWCH+MicrosoftYaHei" w:hAnsi="WHHWCH+MicrosoftYaHei" w:cs="WHHWC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HHWCH+MicrosoftYaHei" w:hAnsi="WHHWCH+MicrosoftYaHei" w:cs="WHHWCH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单位</w:t>
      </w:r>
      <w:r>
        <w:rPr>
          <w:rFonts w:ascii="FTLGDP+MicrosoftYaHei"/>
          <w:color w:val="000000"/>
          <w:spacing w:val="0"/>
          <w:sz w:val="22"/>
        </w:rPr>
        <w:t xml:space="preserve">:  </w:t>
      </w:r>
      <w:r>
        <w:rPr>
          <w:rFonts w:ascii="WHHWCH+MicrosoftYaHei" w:hAnsi="WHHWCH+MicrosoftYaHei" w:cs="WHHWC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FTLGDP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部门</w:t>
      </w:r>
      <w:r>
        <w:rPr>
          <w:rFonts w:ascii="FTLGDP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LGDP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联系方式</w:t>
      </w:r>
      <w:r>
        <w:rPr>
          <w:rFonts w:ascii="FTLGDP+MicrosoftYaHei"/>
          <w:color w:val="000000"/>
          <w:spacing w:val="0"/>
          <w:sz w:val="22"/>
        </w:rPr>
        <w:t>:  136****1757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LGDP+MicrosoftYaHei"/>
          <w:color w:val="000000"/>
          <w:spacing w:val="0"/>
          <w:sz w:val="22"/>
        </w:rPr>
      </w:pPr>
      <w:r>
        <w:rPr>
          <w:rFonts w:ascii="WHHWCH+MicrosoftYaHei" w:hAnsi="WHHWCH+MicrosoftYaHei" w:cs="WHHWCH+MicrosoftYaHei"/>
          <w:color w:val="000000"/>
          <w:spacing w:val="0"/>
          <w:sz w:val="22"/>
        </w:rPr>
        <w:t>身份证号</w:t>
      </w:r>
      <w:r>
        <w:rPr>
          <w:rFonts w:ascii="FTLGDP+MicrosoftYaHei"/>
          <w:color w:val="000000"/>
          <w:spacing w:val="0"/>
          <w:sz w:val="22"/>
        </w:rPr>
        <w:t>: 110108********6814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HHWCH+MicrosoftYaHei" w:hAnsi="WHHWCH+MicrosoftYaHei" w:cs="WHHWCH+MicrosoftYaHei"/>
          <w:color w:val="000000"/>
          <w:spacing w:val="0"/>
          <w:sz w:val="28"/>
        </w:rPr>
      </w:pPr>
      <w:r>
        <w:rPr>
          <w:rFonts w:ascii="WHHWCH+MicrosoftYaHei" w:hAnsi="WHHWCH+MicrosoftYaHei" w:cs="WHHWC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WHHWCH+MicrosoftYaHei" w:hAnsi="WHHWCH+MicrosoftYaHei" w:cs="WHHWCH+MicrosoftYaHei"/>
          <w:color w:val="000000"/>
          <w:spacing w:val="0"/>
          <w:sz w:val="28"/>
        </w:rPr>
      </w:pPr>
      <w:r>
        <w:rPr>
          <w:rFonts w:ascii="WHHWCH+MicrosoftYaHei" w:hAnsi="WHHWCH+MicrosoftYaHei" w:cs="WHHWC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尊敬的陈大力先生：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DCMCBP+Wingdings-Regular" w:hAnsi="DCMCBP+Wingdings-Regular" w:cs="DCMCBP+Wingdings-Regular"/>
          <w:color w:val="000000"/>
          <w:spacing w:val="0"/>
          <w:sz w:val="23"/>
        </w:rPr>
      </w:pPr>
      <w:r>
        <w:rPr>
          <w:rFonts w:ascii="DCMCBP+Wingdings-Regular" w:hAnsi="DCMCBP+Wingdings-Regular" w:cs="DCMCBP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CMCBP+Wingdings-Regular" w:hAnsi="DCMCBP+Wingdings-Regular" w:cs="DCMCBP+Wingdings-Regular"/>
          <w:color w:val="000000"/>
          <w:spacing w:val="0"/>
          <w:sz w:val="23"/>
        </w:rPr>
      </w:pPr>
      <w:r>
        <w:rPr>
          <w:rFonts w:ascii="DCMCBP+Wingdings-Regular" w:hAnsi="DCMCBP+Wingdings-Regular" w:cs="DCMCBP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陈大力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57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582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582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42" w:x="1440" w:y="34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科检查、诊治。</w:t>
      </w:r>
    </w:p>
    <w:p>
      <w:pPr>
        <w:pStyle w:val="Normal"/>
        <w:framePr w:w="2317" w:x="1579" w:y="3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41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视网膜动脉硬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5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5176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58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11" w:x="1440" w:y="621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4" w:x="1190" w:y="68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692" w:x="1190" w:y="719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692" w:x="1190" w:y="719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(473.3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8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78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78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78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805" w:x="1190" w:y="91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抗原比值</w:t>
      </w:r>
      <w:r>
        <w:rPr>
          <w:rFonts w:ascii="FangSong"/>
          <w:color w:val="000000"/>
          <w:spacing w:val="0"/>
          <w:sz w:val="22"/>
        </w:rPr>
        <w:t>&lt;0.19[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944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/>
          <w:color w:val="000000"/>
          <w:spacing w:val="0"/>
          <w:sz w:val="22"/>
        </w:rPr>
        <w:t>(20.528 ng/ml)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/>
          <w:color w:val="000000"/>
          <w:spacing w:val="0"/>
          <w:sz w:val="22"/>
        </w:rPr>
        <w:t>PSA/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/>
          <w:color w:val="000000"/>
          <w:spacing w:val="0"/>
          <w:sz w:val="22"/>
        </w:rPr>
        <w:t>PSA</w:t>
      </w:r>
      <w:r>
        <w:rPr>
          <w:rFonts w:ascii="FangSong" w:hAnsi="FangSong" w:cs="FangSong"/>
          <w:color w:val="000000"/>
          <w:spacing w:val="0"/>
          <w:sz w:val="22"/>
        </w:rPr>
        <w:t>比值</w:t>
      </w:r>
      <w:r>
        <w:rPr>
          <w:rFonts w:ascii="FangSong"/>
          <w:color w:val="000000"/>
          <w:spacing w:val="0"/>
          <w:sz w:val="22"/>
        </w:rPr>
        <w:t>(0.07 )</w:t>
      </w:r>
    </w:p>
    <w:p>
      <w:pPr>
        <w:pStyle w:val="Normal"/>
        <w:framePr w:w="10405" w:x="1440" w:y="944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或增</w:t>
      </w:r>
      <w:r>
        <w:rPr>
          <w:rFonts w:ascii="FangSong" w:hAnsi="FangSong" w:cs="FangSong"/>
          <w:color w:val="000000"/>
          <w:spacing w:val="0"/>
          <w:sz w:val="22"/>
        </w:rPr>
        <w:t>生、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殖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的其它疾病，及时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0405" w:x="1440" w:y="944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1655" w:x="1579" w:y="10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094" w:x="1190" w:y="10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1117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9930" w:x="1190" w:y="1117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电轴左偏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118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无其它明确的心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异常，其它检查</w:t>
      </w:r>
      <w:r>
        <w:rPr>
          <w:rFonts w:ascii="FangSong" w:hAnsi="FangSong" w:cs="FangSong"/>
          <w:color w:val="000000"/>
          <w:spacing w:val="0"/>
          <w:sz w:val="22"/>
        </w:rPr>
        <w:t>也未</w:t>
      </w:r>
      <w:r>
        <w:rPr>
          <w:rFonts w:ascii="FangSong" w:hAnsi="FangSong" w:cs="FangSong"/>
          <w:color w:val="000000"/>
          <w:spacing w:val="0"/>
          <w:sz w:val="22"/>
        </w:rPr>
        <w:t>发现心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胸腔器质</w:t>
      </w:r>
      <w:r>
        <w:rPr>
          <w:rFonts w:ascii="FangSong" w:hAnsi="FangSong" w:cs="FangSong"/>
          <w:color w:val="000000"/>
          <w:spacing w:val="0"/>
          <w:sz w:val="22"/>
        </w:rPr>
        <w:t>性疾病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单纯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电</w:t>
      </w:r>
    </w:p>
    <w:p>
      <w:pPr>
        <w:pStyle w:val="Normal"/>
        <w:framePr w:w="10535" w:x="1440" w:y="1186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轴左偏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际</w:t>
      </w:r>
      <w:r>
        <w:rPr>
          <w:rFonts w:ascii="FangSong" w:hAnsi="FangSong" w:cs="FangSong"/>
          <w:color w:val="000000"/>
          <w:spacing w:val="0"/>
          <w:sz w:val="22"/>
        </w:rPr>
        <w:t>临床意义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时发现其它明确的心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胸腔器质</w:t>
      </w:r>
      <w:r>
        <w:rPr>
          <w:rFonts w:ascii="FangSong" w:hAnsi="FangSong" w:cs="FangSong"/>
          <w:color w:val="000000"/>
          <w:spacing w:val="0"/>
          <w:sz w:val="22"/>
        </w:rPr>
        <w:t>性疾</w:t>
      </w:r>
    </w:p>
    <w:p>
      <w:pPr>
        <w:pStyle w:val="Normal"/>
        <w:framePr w:w="10535" w:x="1440" w:y="1186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12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1314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237" w:x="1190" w:y="13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38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4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124" w:x="1190" w:y="144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8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481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84.7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84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16.3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16.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23.77,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3592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2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2016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/>
          <w:color w:val="000000"/>
          <w:spacing w:val="0"/>
          <w:sz w:val="20"/>
        </w:rPr>
        <w:t>.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0.0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7.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视网膜动脉硬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视网膜动脉硬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433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完</w:t>
      </w:r>
      <w:r>
        <w:rPr>
          <w:rFonts w:ascii="FangSong" w:hAnsi="FangSong" w:cs="FangSong"/>
          <w:color w:val="000000"/>
          <w:spacing w:val="0"/>
          <w:sz w:val="20"/>
        </w:rPr>
        <w:t>全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右束</w:t>
      </w:r>
      <w:r>
        <w:rPr>
          <w:rFonts w:ascii="FangSong" w:hAnsi="FangSong" w:cs="FangSong"/>
          <w:color w:val="000000"/>
          <w:spacing w:val="0"/>
          <w:sz w:val="20"/>
        </w:rPr>
        <w:t>支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阻</w:t>
      </w:r>
      <w:r>
        <w:rPr>
          <w:rFonts w:ascii="FangSong" w:hAnsi="FangSong" w:cs="FangSong"/>
          <w:color w:val="000000"/>
          <w:spacing w:val="0"/>
          <w:sz w:val="20"/>
        </w:rPr>
        <w:t>滞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2210" w:y="12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电轴左偏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2210" w:y="1220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-79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1.31,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1377.02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2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1.52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01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47.7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5.3pt;z-index:-223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3.8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1.4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搏波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 xml:space="preserve">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6.65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45.05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84.4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1.85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21mmx17mm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35mm,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内腺可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双叶囊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17mmx12mm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17mmx12mm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形态欠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内可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07" w:x="4150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起始段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8.4mmx4.1mm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表面欠光滑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缺损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缘</w:t>
      </w:r>
      <w:r>
        <w:rPr>
          <w:rFonts w:ascii="FangSong" w:hAnsi="FangSong" w:cs="FangSong"/>
          <w:color w:val="000000"/>
          <w:spacing w:val="0"/>
          <w:sz w:val="22"/>
        </w:rPr>
        <w:t>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野小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边缘较清</w:t>
      </w:r>
      <w:r>
        <w:rPr>
          <w:rFonts w:ascii="FangSong" w:hAnsi="FangSong" w:cs="FangSong"/>
          <w:color w:val="000000"/>
          <w:spacing w:val="0"/>
          <w:sz w:val="22"/>
        </w:rPr>
        <w:t>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、心、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2018-04-17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32.55pt;height:199.8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：陈大力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7.06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：陈大力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473.3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4.83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1.21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3.16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1.41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1.36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13.24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20.528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18.07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1.404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499" w:x="6398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0.07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4.41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12.7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26.35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47.1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60.85pt;z-index:-40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16100474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：陈大力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131804160009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HHWC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90fea2c-0000-0000-0000-000000000000}"/>
  </w:font>
  <w:font w:name="FTLGDP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5bfd2a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CMCBP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380bf8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2964</Words>
  <Characters>6339</Characters>
  <Application>Aspose</Application>
  <DocSecurity>0</DocSecurity>
  <Lines>829</Lines>
  <Paragraphs>829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6746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2019-12-19T17:02:10+08:00</dcterms:created>
  <dcterms:modified xmlns:xsi="http://www.w3.org/2001/XMLSchema-instance" xmlns:dcterms="http://purl.org/dc/terms/" xsi:type="dcterms:W3CDTF">2019-12-19T17:02:10+08:00</dcterms:modified>
</coreProperties>
</file>