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18"/>
        </w:rPr>
      </w:pPr>
      <w:r>
        <w:rPr>
          <w:rFonts w:ascii="TKEUTA+MicrosoftYaHei" w:hAnsi="TKEUTA+MicrosoftYaHei" w:cs="TKEUT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MRACE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体检日期</w:t>
      </w:r>
      <w:r>
        <w:rPr>
          <w:rFonts w:ascii="QMRACE+MicrosoftYaHei"/>
          <w:color w:val="000000"/>
          <w:spacing w:val="0"/>
          <w:sz w:val="22"/>
        </w:rPr>
        <w:t>:  2018-04-23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姓名</w:t>
      </w:r>
      <w:r>
        <w:rPr>
          <w:rFonts w:ascii="QMRACE+MicrosoftYaHei"/>
          <w:color w:val="000000"/>
          <w:spacing w:val="0"/>
          <w:sz w:val="22"/>
        </w:rPr>
        <w:t xml:space="preserve">:  </w:t>
      </w:r>
      <w:r>
        <w:rPr>
          <w:rFonts w:ascii="TKEUTA+MicrosoftYaHei" w:hAnsi="TKEUTA+MicrosoftYaHei" w:cs="TKEUTA+MicrosoftYaHei"/>
          <w:color w:val="000000"/>
          <w:spacing w:val="0"/>
          <w:sz w:val="22"/>
        </w:rPr>
        <w:t>韩东风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MRACE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卡号</w:t>
      </w:r>
      <w:r>
        <w:rPr>
          <w:rFonts w:ascii="QMRACE+MicrosoftYaHei"/>
          <w:color w:val="000000"/>
          <w:spacing w:val="0"/>
          <w:sz w:val="22"/>
        </w:rPr>
        <w:t xml:space="preserve">:  </w:t>
      </w:r>
      <w:r>
        <w:rPr>
          <w:rFonts w:ascii="QMRACE+MicrosoftYaHei"/>
          <w:color w:val="000000"/>
          <w:spacing w:val="0"/>
          <w:sz w:val="22"/>
        </w:rPr>
        <w:t>17066930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性别</w:t>
      </w:r>
      <w:r>
        <w:rPr>
          <w:rFonts w:ascii="QMRACE+MicrosoftYaHei"/>
          <w:color w:val="000000"/>
          <w:spacing w:val="0"/>
          <w:sz w:val="22"/>
        </w:rPr>
        <w:t xml:space="preserve">: </w:t>
      </w:r>
      <w:r>
        <w:rPr>
          <w:rFonts w:ascii="TKEUTA+MicrosoftYaHei" w:hAnsi="TKEUTA+MicrosoftYaHei" w:cs="TKEUT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单位</w:t>
      </w:r>
      <w:r>
        <w:rPr>
          <w:rFonts w:ascii="QMRACE+MicrosoftYaHei"/>
          <w:color w:val="000000"/>
          <w:spacing w:val="0"/>
          <w:sz w:val="22"/>
        </w:rPr>
        <w:t xml:space="preserve">:  </w:t>
      </w:r>
      <w:r>
        <w:rPr>
          <w:rFonts w:ascii="TKEUTA+MicrosoftYaHei" w:hAnsi="TKEUTA+MicrosoftYaHei" w:cs="TKEUT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QMRACE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部门</w:t>
      </w:r>
      <w:r>
        <w:rPr>
          <w:rFonts w:ascii="QMRAC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MRACE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联系方式</w:t>
      </w:r>
      <w:r>
        <w:rPr>
          <w:rFonts w:ascii="QMRACE+MicrosoftYaHei"/>
          <w:color w:val="000000"/>
          <w:spacing w:val="0"/>
          <w:sz w:val="22"/>
        </w:rPr>
        <w:t>:  139****2522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MRACE+MicrosoftYaHei"/>
          <w:color w:val="000000"/>
          <w:spacing w:val="0"/>
          <w:sz w:val="22"/>
        </w:rPr>
      </w:pPr>
      <w:r>
        <w:rPr>
          <w:rFonts w:ascii="TKEUTA+MicrosoftYaHei" w:hAnsi="TKEUTA+MicrosoftYaHei" w:cs="TKEUTA+MicrosoftYaHei"/>
          <w:color w:val="000000"/>
          <w:spacing w:val="0"/>
          <w:sz w:val="22"/>
        </w:rPr>
        <w:t>身份证号</w:t>
      </w:r>
      <w:r>
        <w:rPr>
          <w:rFonts w:ascii="QMRACE+MicrosoftYaHei"/>
          <w:color w:val="000000"/>
          <w:spacing w:val="0"/>
          <w:sz w:val="22"/>
        </w:rPr>
        <w:t>: 210204********5797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28"/>
        </w:rPr>
      </w:pPr>
      <w:r>
        <w:rPr>
          <w:rFonts w:ascii="TKEUTA+MicrosoftYaHei" w:hAnsi="TKEUTA+MicrosoftYaHei" w:cs="TKEUT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KEUTA+MicrosoftYaHei" w:hAnsi="TKEUTA+MicrosoftYaHei" w:cs="TKEUTA+MicrosoftYaHei"/>
          <w:color w:val="000000"/>
          <w:spacing w:val="0"/>
          <w:sz w:val="28"/>
        </w:rPr>
      </w:pPr>
      <w:r>
        <w:rPr>
          <w:rFonts w:ascii="TKEUTA+MicrosoftYaHei" w:hAnsi="TKEUTA+MicrosoftYaHei" w:cs="TKEUT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尊敬的韩东风先生：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CMSLW+Wingdings-Regular" w:hAnsi="LCMSLW+Wingdings-Regular" w:cs="LCMSLW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CMSLW+Wingdings-Regular" w:hAnsi="LCMSLW+Wingdings-Regular" w:cs="LCMSLW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CMSLW+Wingdings-Regular" w:hAnsi="LCMSLW+Wingdings-Regular" w:cs="LCMSLW+Wingdings-Regular"/>
          <w:color w:val="000000"/>
          <w:spacing w:val="0"/>
          <w:sz w:val="23"/>
        </w:rPr>
      </w:pPr>
      <w:r>
        <w:rPr>
          <w:rFonts w:ascii="LCMSLW+Wingdings-Regular" w:hAnsi="LCMSLW+Wingdings-Regular" w:cs="LCMSLW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韩东风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237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二尖</w:t>
      </w:r>
      <w:r>
        <w:rPr>
          <w:rFonts w:ascii="FangSong" w:hAnsi="FangSong" w:cs="FangSong"/>
          <w:color w:val="000000"/>
          <w:spacing w:val="0"/>
          <w:sz w:val="22"/>
        </w:rPr>
        <w:t>瓣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≥</w:t>
      </w:r>
      <w:r>
        <w:rPr>
          <w:rFonts w:ascii="FangSong"/>
          <w:color w:val="000000"/>
          <w:spacing w:val="0"/>
          <w:sz w:val="22"/>
        </w:rPr>
        <w:t>3/6</w:t>
      </w:r>
      <w:r>
        <w:rPr>
          <w:rFonts w:ascii="FangSong" w:hAnsi="FangSong" w:cs="FangSong"/>
          <w:color w:val="000000"/>
          <w:spacing w:val="0"/>
          <w:sz w:val="22"/>
        </w:rPr>
        <w:t>级</w:t>
      </w:r>
      <w:r>
        <w:rPr>
          <w:rFonts w:ascii="FangSong" w:hAnsi="FangSong" w:cs="FangSong"/>
          <w:color w:val="000000"/>
          <w:spacing w:val="0"/>
          <w:sz w:val="22"/>
        </w:rPr>
        <w:t>收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吹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样杂音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237" w:x="1190" w:y="37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可疑二尖</w:t>
      </w:r>
      <w:r>
        <w:rPr>
          <w:rFonts w:ascii="FangSong" w:hAnsi="FangSong" w:cs="FangSong"/>
          <w:color w:val="000000"/>
          <w:spacing w:val="0"/>
          <w:sz w:val="22"/>
        </w:rPr>
        <w:t>瓣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闭</w:t>
      </w:r>
      <w:r>
        <w:rPr>
          <w:rFonts w:ascii="FangSong" w:hAnsi="FangSong" w:cs="FangSong"/>
          <w:color w:val="000000"/>
          <w:spacing w:val="0"/>
          <w:sz w:val="22"/>
        </w:rPr>
        <w:t>不全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237" w:x="1190" w:y="37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主动脉瓣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≥</w:t>
      </w:r>
      <w:r>
        <w:rPr>
          <w:rFonts w:ascii="FangSong"/>
          <w:color w:val="000000"/>
          <w:spacing w:val="0"/>
          <w:sz w:val="22"/>
        </w:rPr>
        <w:t>2/6</w:t>
      </w:r>
      <w:r>
        <w:rPr>
          <w:rFonts w:ascii="FangSong" w:hAnsi="FangSong" w:cs="FangSong"/>
          <w:color w:val="000000"/>
          <w:spacing w:val="0"/>
          <w:sz w:val="22"/>
        </w:rPr>
        <w:t>级</w:t>
      </w:r>
      <w:r>
        <w:rPr>
          <w:rFonts w:ascii="FangSong" w:hAnsi="FangSong" w:cs="FangSong"/>
          <w:color w:val="000000"/>
          <w:spacing w:val="0"/>
          <w:sz w:val="22"/>
        </w:rPr>
        <w:t>收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吹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样杂音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237" w:x="1190" w:y="379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可疑</w:t>
      </w:r>
      <w:r>
        <w:rPr>
          <w:rFonts w:ascii="FangSong" w:hAnsi="FangSong" w:cs="FangSong"/>
          <w:color w:val="000000"/>
          <w:spacing w:val="0"/>
          <w:sz w:val="22"/>
        </w:rPr>
        <w:t>主动脉瓣狭窄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455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3.T</w:t>
      </w:r>
      <w:r>
        <w:rPr>
          <w:rFonts w:ascii="FangSong" w:hAnsi="FangSong" w:cs="FangSong"/>
          <w:color w:val="000000"/>
          <w:spacing w:val="0"/>
          <w:sz w:val="22"/>
        </w:rPr>
        <w:t>波改变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/>
          <w:color w:val="000000"/>
          <w:spacing w:val="0"/>
          <w:sz w:val="22"/>
        </w:rPr>
        <w:t>T</w:t>
      </w:r>
      <w:r>
        <w:rPr>
          <w:rFonts w:ascii="FangSong" w:hAnsi="FangSong" w:cs="FangSong"/>
          <w:color w:val="000000"/>
          <w:spacing w:val="0"/>
          <w:sz w:val="22"/>
        </w:rPr>
        <w:t>波改变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很多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植</w:t>
      </w:r>
      <w:r>
        <w:rPr>
          <w:rFonts w:ascii="FangSong" w:hAnsi="FangSong" w:cs="FangSong"/>
          <w:color w:val="000000"/>
          <w:spacing w:val="0"/>
          <w:sz w:val="22"/>
        </w:rPr>
        <w:t>物神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功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失调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61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6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64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602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(5.84 mIU/L)[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2" w:x="1190" w:y="712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602" w:x="1190" w:y="712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817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(126 g/L)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 xml:space="preserve">(3.79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</w:t>
      </w:r>
    </w:p>
    <w:p>
      <w:pPr>
        <w:pStyle w:val="Normal"/>
        <w:framePr w:w="10405" w:x="1440" w:y="817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胃炎胃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低致</w:t>
      </w:r>
      <w:r>
        <w:rPr>
          <w:rFonts w:ascii="FangSong" w:hAnsi="FangSong" w:cs="FangSong"/>
          <w:color w:val="000000"/>
          <w:spacing w:val="0"/>
          <w:sz w:val="22"/>
        </w:rPr>
        <w:t>铁吸收障碍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髓造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05" w:x="1440" w:y="817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妊娠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9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(430.5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94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风的病理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94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94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0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饮酒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过量</w:t>
      </w:r>
      <w:r>
        <w:rPr>
          <w:rFonts w:ascii="FangSong" w:hAnsi="FangSong" w:cs="FangSong"/>
          <w:color w:val="000000"/>
          <w:spacing w:val="0"/>
          <w:sz w:val="22"/>
        </w:rPr>
        <w:t>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120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243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243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131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131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轻微迂曲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38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822" w:x="1190" w:y="14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(0.63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(3.84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</w:p>
    <w:p>
      <w:pPr>
        <w:pStyle w:val="Normal"/>
        <w:framePr w:w="10822" w:x="1190" w:y="14452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50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30.6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30.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:2018-04-27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67.9Kg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20.39,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2015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120/80mmHg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507" w:x="2210" w:y="8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4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3708" w:x="2210" w:y="8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二尖</w:t>
      </w:r>
      <w:r>
        <w:rPr>
          <w:rFonts w:ascii="FangSong" w:hAnsi="FangSong" w:cs="FangSong"/>
          <w:color w:val="000000"/>
          <w:spacing w:val="0"/>
          <w:sz w:val="20"/>
        </w:rPr>
        <w:t>瓣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3/6</w:t>
      </w:r>
      <w:r>
        <w:rPr>
          <w:rFonts w:ascii="FangSong" w:hAnsi="FangSong" w:cs="FangSong"/>
          <w:color w:val="000000"/>
          <w:spacing w:val="0"/>
          <w:sz w:val="20"/>
        </w:rPr>
        <w:t>级</w:t>
      </w: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吹</w:t>
      </w:r>
      <w:r>
        <w:rPr>
          <w:rFonts w:ascii="FangSong" w:hAnsi="FangSong" w:cs="FangSong"/>
          <w:color w:val="000000"/>
          <w:spacing w:val="0"/>
          <w:sz w:val="20"/>
        </w:rPr>
        <w:t>风</w:t>
      </w:r>
      <w:r>
        <w:rPr>
          <w:rFonts w:ascii="FangSong" w:hAnsi="FangSong" w:cs="FangSong"/>
          <w:color w:val="000000"/>
          <w:spacing w:val="0"/>
          <w:sz w:val="20"/>
        </w:rPr>
        <w:t>样杂音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88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主动脉瓣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2/6</w:t>
      </w:r>
      <w:r>
        <w:rPr>
          <w:rFonts w:ascii="FangSong" w:hAnsi="FangSong" w:cs="FangSong"/>
          <w:color w:val="000000"/>
          <w:spacing w:val="0"/>
          <w:sz w:val="20"/>
        </w:rPr>
        <w:t>级</w:t>
      </w: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吹</w:t>
      </w:r>
      <w:r>
        <w:rPr>
          <w:rFonts w:ascii="FangSong" w:hAnsi="FangSong" w:cs="FangSong"/>
          <w:color w:val="000000"/>
          <w:spacing w:val="0"/>
          <w:sz w:val="20"/>
        </w:rPr>
        <w:t>风</w:t>
      </w:r>
      <w:r>
        <w:rPr>
          <w:rFonts w:ascii="FangSong" w:hAnsi="FangSong" w:cs="FangSong"/>
          <w:color w:val="000000"/>
          <w:spacing w:val="0"/>
          <w:sz w:val="20"/>
        </w:rPr>
        <w:t>样杂</w:t>
      </w:r>
    </w:p>
    <w:p>
      <w:pPr>
        <w:pStyle w:val="Normal"/>
        <w:framePr w:w="3591" w:x="2210" w:y="889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9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8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90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9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9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59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59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908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4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42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4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7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7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17.3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88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25.55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93.6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3.7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11.2pt;z-index:-187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7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1104" w:x="1450" w:y="8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833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3" w:x="2210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波改变</w:t>
      </w:r>
    </w:p>
    <w:p>
      <w:pPr>
        <w:pStyle w:val="Normal"/>
        <w:framePr w:w="1810" w:x="9480" w:y="90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9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9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88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881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8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-1.93,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1336.92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0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06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-1.84</w:t>
      </w:r>
    </w:p>
    <w:p>
      <w:pPr>
        <w:pStyle w:val="Normal"/>
        <w:framePr w:w="1810" w:x="9480" w:y="11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1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1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21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1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1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1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18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41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1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4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44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4490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4490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4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6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4.2pt;z-index:-207;width:507pt;height:82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95.1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2.55pt;z-index:-21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72.3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09.85pt;z-index:-22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69.9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07.4pt;z-index:-23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5.25pt;margin-top:645.8pt;z-index:-235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685.15pt;z-index:-2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722.7pt;z-index:-24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7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7.4mm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x1.9mm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缺损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</w:p>
    <w:p>
      <w:pPr>
        <w:pStyle w:val="Normal"/>
        <w:framePr w:w="7745" w:x="4150" w:y="1301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度未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125.85pt;z-index:-2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8.7pt;margin-top:146pt;z-index:-26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329.3pt;margin-top:146pt;z-index:-267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93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30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轻微迂曲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：韩</w:t>
      </w:r>
      <w:r>
        <w:rPr>
          <w:rFonts w:ascii="FangSong" w:hAnsi="FangSong" w:cs="FangSong"/>
          <w:color w:val="000000"/>
          <w:spacing w:val="0"/>
          <w:sz w:val="22"/>
        </w:rPr>
        <w:t>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25.8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89.7pt;margin-top:146pt;z-index:-299;width:224.6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24pt;margin-top:54.15pt;z-index:-31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3.65pt;margin-top:28.95pt;z-index:-31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9.3pt;margin-top:102.05pt;z-index:-31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5.5pt;margin-top:525.05pt;z-index:-32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9.3pt;margin-top:29.95pt;z-index:-33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32.15pt;margin-top:77.25pt;z-index:-33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：韩东风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8.73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3.84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7.2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98.9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160.75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174.45pt;z-index:-35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17066930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：韩东风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131804230065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99" w:x="6398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5.73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430.5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3.27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4.47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16.21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14.64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0.645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0.26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3.54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282.3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296pt;z-index:-37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516.8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530.5pt;z-index:-38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KEUT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6cbd537-0000-0000-0000-000000000000}"/>
  </w:font>
  <w:font w:name="QMRAC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9e1c6d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CMSL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7befb9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fontTable" Target="fontTable.xml" /><Relationship Id="rId101" Type="http://schemas.openxmlformats.org/officeDocument/2006/relationships/settings" Target="settings.xml" /><Relationship Id="rId102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2801</Words>
  <Characters>5921</Characters>
  <Application>Aspose</Application>
  <DocSecurity>0</DocSecurity>
  <Lines>777</Lines>
  <Paragraphs>777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6306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2019-12-19T17:03:44+08:00</dcterms:created>
  <dcterms:modified xmlns:xsi="http://www.w3.org/2001/XMLSchema-instance" xmlns:dcterms="http://purl.org/dc/terms/" xsi:type="dcterms:W3CDTF">2019-12-19T17:03:44+08:00</dcterms:modified>
</coreProperties>
</file>