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KIOPRS+MicrosoftYaHei" w:hAnsi="KIOPRS+MicrosoftYaHei" w:cs="KIOPRS+MicrosoftYaHei"/>
          <w:color w:val="000000"/>
          <w:spacing w:val="0"/>
          <w:sz w:val="18"/>
        </w:rPr>
      </w:pPr>
      <w:r>
        <w:rPr>
          <w:rFonts w:ascii="KIOPRS+MicrosoftYaHei" w:hAnsi="KIOPRS+MicrosoftYaHei" w:cs="KIOPRS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GTSN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体检日期</w:t>
      </w:r>
      <w:r>
        <w:rPr>
          <w:rFonts w:ascii="SLGTSN+MicrosoftYaHei"/>
          <w:color w:val="000000"/>
          <w:spacing w:val="0"/>
          <w:sz w:val="22"/>
        </w:rPr>
        <w:t>:  2018-07-10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KIOPRS+MicrosoftYaHei" w:hAnsi="KIOPRS+MicrosoftYaHei" w:cs="KIOPRS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姓名</w:t>
      </w:r>
      <w:r>
        <w:rPr>
          <w:rFonts w:ascii="SLGTSN+MicrosoftYaHei"/>
          <w:color w:val="000000"/>
          <w:spacing w:val="0"/>
          <w:sz w:val="22"/>
        </w:rPr>
        <w:t xml:space="preserve">:  </w:t>
      </w:r>
      <w:r>
        <w:rPr>
          <w:rFonts w:ascii="KIOPRS+MicrosoftYaHei" w:hAnsi="KIOPRS+MicrosoftYaHei" w:cs="KIOPRS+MicrosoftYaHei"/>
          <w:color w:val="000000"/>
          <w:spacing w:val="0"/>
          <w:sz w:val="22"/>
        </w:rPr>
        <w:t>刘晓骞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GTSN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卡号</w:t>
      </w:r>
      <w:r>
        <w:rPr>
          <w:rFonts w:ascii="SLGTSN+MicrosoftYaHei"/>
          <w:color w:val="000000"/>
          <w:spacing w:val="0"/>
          <w:sz w:val="22"/>
        </w:rPr>
        <w:t xml:space="preserve">:  </w:t>
      </w:r>
      <w:r>
        <w:rPr>
          <w:rFonts w:ascii="SLGTSN+MicrosoftYaHei"/>
          <w:color w:val="000000"/>
          <w:spacing w:val="0"/>
          <w:sz w:val="22"/>
        </w:rPr>
        <w:t>18028748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IOPRS+MicrosoftYaHei" w:hAnsi="KIOPRS+MicrosoftYaHei" w:cs="KIOPRS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性别</w:t>
      </w:r>
      <w:r>
        <w:rPr>
          <w:rFonts w:ascii="SLGTSN+MicrosoftYaHei"/>
          <w:color w:val="000000"/>
          <w:spacing w:val="0"/>
          <w:sz w:val="22"/>
        </w:rPr>
        <w:t xml:space="preserve">: </w:t>
      </w:r>
      <w:r>
        <w:rPr>
          <w:rFonts w:ascii="KIOPRS+MicrosoftYaHei" w:hAnsi="KIOPRS+MicrosoftYaHei" w:cs="KIOPRS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IOPRS+MicrosoftYaHei" w:hAnsi="KIOPRS+MicrosoftYaHei" w:cs="KIOPRS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单位</w:t>
      </w:r>
      <w:r>
        <w:rPr>
          <w:rFonts w:ascii="SLGTSN+MicrosoftYaHei"/>
          <w:color w:val="000000"/>
          <w:spacing w:val="0"/>
          <w:sz w:val="22"/>
        </w:rPr>
        <w:t xml:space="preserve">:  </w:t>
      </w:r>
      <w:r>
        <w:rPr>
          <w:rFonts w:ascii="KIOPRS+MicrosoftYaHei" w:hAnsi="KIOPRS+MicrosoftYaHei" w:cs="KIOPRS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LGTSN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部门</w:t>
      </w:r>
      <w:r>
        <w:rPr>
          <w:rFonts w:ascii="SLGTSN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GTSN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联系方式</w:t>
      </w:r>
      <w:r>
        <w:rPr>
          <w:rFonts w:ascii="SLGTSN+MicrosoftYaHei"/>
          <w:color w:val="000000"/>
          <w:spacing w:val="0"/>
          <w:sz w:val="22"/>
        </w:rPr>
        <w:t>:  139****6281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GTSN+MicrosoftYaHei"/>
          <w:color w:val="000000"/>
          <w:spacing w:val="0"/>
          <w:sz w:val="22"/>
        </w:rPr>
      </w:pPr>
      <w:r>
        <w:rPr>
          <w:rFonts w:ascii="KIOPRS+MicrosoftYaHei" w:hAnsi="KIOPRS+MicrosoftYaHei" w:cs="KIOPRS+MicrosoftYaHei"/>
          <w:color w:val="000000"/>
          <w:spacing w:val="0"/>
          <w:sz w:val="22"/>
        </w:rPr>
        <w:t>身份证号</w:t>
      </w:r>
      <w:r>
        <w:rPr>
          <w:rFonts w:ascii="SLGTSN+MicrosoftYaHei"/>
          <w:color w:val="000000"/>
          <w:spacing w:val="0"/>
          <w:sz w:val="22"/>
        </w:rPr>
        <w:t>: 110105********9642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KIOPRS+MicrosoftYaHei" w:hAnsi="KIOPRS+MicrosoftYaHei" w:cs="KIOPRS+MicrosoftYaHei"/>
          <w:color w:val="000000"/>
          <w:spacing w:val="0"/>
          <w:sz w:val="28"/>
        </w:rPr>
      </w:pPr>
      <w:r>
        <w:rPr>
          <w:rFonts w:ascii="KIOPRS+MicrosoftYaHei" w:hAnsi="KIOPRS+MicrosoftYaHei" w:cs="KIOPRS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KIOPRS+MicrosoftYaHei" w:hAnsi="KIOPRS+MicrosoftYaHei" w:cs="KIOPRS+MicrosoftYaHei"/>
          <w:color w:val="000000"/>
          <w:spacing w:val="0"/>
          <w:sz w:val="28"/>
        </w:rPr>
      </w:pPr>
      <w:r>
        <w:rPr>
          <w:rFonts w:ascii="KIOPRS+MicrosoftYaHei" w:hAnsi="KIOPRS+MicrosoftYaHei" w:cs="KIOPRS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尊敬的刘晓骞女士：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NCFDM+Wingdings-Regular" w:hAnsi="ENCFDM+Wingdings-Regular" w:cs="ENCFDM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ENCFDM+Wingdings-Regular" w:hAnsi="ENCFDM+Wingdings-Regular" w:cs="ENCFDM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NCFDM+Wingdings-Regular" w:hAnsi="ENCFDM+Wingdings-Regular" w:cs="ENCFDM+Wingdings-Regular"/>
          <w:color w:val="000000"/>
          <w:spacing w:val="0"/>
          <w:sz w:val="23"/>
        </w:rPr>
      </w:pPr>
      <w:r>
        <w:rPr>
          <w:rFonts w:ascii="ENCFDM+Wingdings-Regular" w:hAnsi="ENCFDM+Wingdings-Regular" w:cs="ENCFDM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刘晓骞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或较前次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434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附件区囊肿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虑黄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368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生长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附件区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囊肿较小且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状可</w:t>
      </w:r>
      <w:r>
        <w:rPr>
          <w:rFonts w:ascii="FangSong" w:hAnsi="FangSong" w:cs="FangSong"/>
          <w:color w:val="000000"/>
          <w:spacing w:val="0"/>
          <w:sz w:val="22"/>
        </w:rPr>
        <w:t>以不予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理，</w:t>
      </w:r>
      <w:r>
        <w:rPr>
          <w:rFonts w:ascii="FangSong" w:hAnsi="FangSong" w:cs="FangSong"/>
          <w:color w:val="000000"/>
          <w:spacing w:val="0"/>
          <w:sz w:val="22"/>
        </w:rPr>
        <w:t>囊肿较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9930" w:x="1190" w:y="368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437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437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、女性月</w:t>
      </w:r>
      <w:r>
        <w:rPr>
          <w:rFonts w:ascii="FangSong" w:hAnsi="FangSong" w:cs="FangSong"/>
          <w:color w:val="000000"/>
          <w:spacing w:val="0"/>
          <w:sz w:val="22"/>
        </w:rPr>
        <w:t>经未凈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50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</w:p>
    <w:p>
      <w:pPr>
        <w:pStyle w:val="Normal"/>
        <w:framePr w:w="10411" w:x="1440" w:y="506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6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124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7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低至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80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10313" w:x="1190" w:y="8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（轻度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840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348" w:x="1190" w:y="91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94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</w:p>
    <w:p>
      <w:pPr>
        <w:pStyle w:val="Normal"/>
        <w:framePr w:w="10411" w:x="1440" w:y="94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94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682" w:x="1190" w:y="10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1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静脉团块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08" w:x="1440" w:y="110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24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241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13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:2018-07-14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97.5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97.5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56.6Kg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20.54,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3011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5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颗粒</w:t>
      </w:r>
      <w:r>
        <w:rPr>
          <w:rFonts w:ascii="FangSong" w:hAnsi="FangSong" w:cs="FangSong"/>
          <w:color w:val="000000"/>
          <w:spacing w:val="0"/>
          <w:sz w:val="20"/>
        </w:rPr>
        <w:t>状增生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701" w:x="1450" w:y="12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19.6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7.1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：刘敬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2018-06-14;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3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2;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4518"/>
        <w:widowControl w:val="off"/>
        <w:autoSpaceDE w:val="off"/>
        <w:autoSpaceDN w:val="off"/>
        <w:spacing w:before="0" w:after="0" w:line="4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1.1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8.55pt;z-index:-211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86.3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723.9pt;z-index:-219;width:507pt;height:37.7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770.35pt;z-index:-2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0pt;margin-top:0pt;z-index:-2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素呼气试验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5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DOB:6.96</w:t>
      </w:r>
    </w:p>
    <w:p>
      <w:pPr>
        <w:pStyle w:val="Normal"/>
        <w:framePr w:w="2198" w:x="914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7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4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450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48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5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52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5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52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5677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（轻度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62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62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43.55pt;margin-top:44.1pt;z-index:-231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88.4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125.85pt;z-index:-23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25pt;margin-top:164.35pt;z-index:-24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203.6pt;z-index:-2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241.15pt;z-index:-251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70.35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32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12mmx8mm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筛</w:t>
      </w:r>
      <w:r>
        <w:rPr>
          <w:rFonts w:ascii="FangSong" w:hAnsi="FangSong" w:cs="FangSong"/>
          <w:color w:val="000000"/>
          <w:spacing w:val="0"/>
          <w:sz w:val="22"/>
        </w:rPr>
        <w:t>网状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7mmx3mm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544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附件区囊肿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附件区可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38mmx44mmx29mm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壁稍厚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透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絮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周边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环绕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育器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置正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附件区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8.7pt;margin-top:146pt;z-index:-27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209.3pt;margin-top:146pt;z-index:-27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369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301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附件区囊肿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虑黄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2018-07-10</w:t>
      </w:r>
    </w:p>
    <w:p>
      <w:pPr>
        <w:pStyle w:val="Normal"/>
        <w:framePr w:w="2788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3.55pt;margin-top:44.1pt;z-index:-2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2018-07-10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25.85pt;z-index:-30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89.7pt;margin-top:146pt;z-index:-311;width:225.8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24pt;margin-top:54.15pt;z-index:-32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3.65pt;margin-top:28.95pt;z-index:-3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9.3pt;margin-top:102.05pt;z-index:-33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15.5pt;margin-top:525.05pt;z-index:-33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：刘晓骞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56.4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2.21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160.7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174.45pt;z-index:-35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：刘晓骞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赵德</w:t>
      </w:r>
      <w:r>
        <w:rPr>
          <w:rFonts w:ascii="FangSong" w:hAnsi="FangSong" w:cs="FangSong"/>
          <w:color w:val="000000"/>
          <w:spacing w:val="0"/>
          <w:sz w:val="20"/>
        </w:rPr>
        <w:t>海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7.75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243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4.86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4.53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1.78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808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14.21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9.35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10.31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342.9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356.6pt;z-index:-379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577.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591.2pt;z-index:-387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：刘晓骞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131807100089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9" style="position:absolute;margin-left:45.7pt;margin-top:29.95pt;z-index:-3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137.35pt;z-index:-40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IOPRS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1070155-0000-0000-0000-000000000000}"/>
  </w:font>
  <w:font w:name="SLGTSN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83451c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NCFD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13d30f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2870</Words>
  <Characters>6080</Characters>
  <Application>Aspose</Application>
  <DocSecurity>0</DocSecurity>
  <Lines>829</Lines>
  <Paragraphs>829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6480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2019-12-19T17:10:07+08:00</dcterms:created>
  <dcterms:modified xmlns:xsi="http://www.w3.org/2001/XMLSchema-instance" xmlns:dcterms="http://purl.org/dc/terms/" xsi:type="dcterms:W3CDTF">2019-12-19T17:10:07+08:00</dcterms:modified>
</coreProperties>
</file>