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VCREEN+MicrosoftYaHei" w:hAnsi="VCREEN+MicrosoftYaHei" w:cs="VCREEN+MicrosoftYaHei"/>
          <w:color w:val="000000"/>
          <w:spacing w:val="0"/>
          <w:sz w:val="18"/>
        </w:rPr>
      </w:pPr>
      <w:r>
        <w:rPr>
          <w:rFonts w:ascii="VCREEN+MicrosoftYaHei" w:hAnsi="VCREEN+MicrosoftYaHei" w:cs="VCREEN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KTPV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体检日期</w:t>
      </w:r>
      <w:r>
        <w:rPr>
          <w:rFonts w:ascii="FTKTPV+MicrosoftYaHei"/>
          <w:color w:val="000000"/>
          <w:spacing w:val="0"/>
          <w:sz w:val="22"/>
        </w:rPr>
        <w:t>:  2018-06-07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VCREEN+MicrosoftYaHei" w:hAnsi="VCREEN+MicrosoftYaHei" w:cs="VCREEN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姓名</w:t>
      </w:r>
      <w:r>
        <w:rPr>
          <w:rFonts w:ascii="FTKTPV+MicrosoftYaHei"/>
          <w:color w:val="000000"/>
          <w:spacing w:val="0"/>
          <w:sz w:val="22"/>
        </w:rPr>
        <w:t xml:space="preserve">:  </w:t>
      </w:r>
      <w:r>
        <w:rPr>
          <w:rFonts w:ascii="VCREEN+MicrosoftYaHei" w:hAnsi="VCREEN+MicrosoftYaHei" w:cs="VCREEN+MicrosoftYaHei"/>
          <w:color w:val="000000"/>
          <w:spacing w:val="0"/>
          <w:sz w:val="22"/>
        </w:rPr>
        <w:t>白莹莹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KTPV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卡号</w:t>
      </w:r>
      <w:r>
        <w:rPr>
          <w:rFonts w:ascii="FTKTPV+MicrosoftYaHei"/>
          <w:color w:val="000000"/>
          <w:spacing w:val="0"/>
          <w:sz w:val="22"/>
        </w:rPr>
        <w:t xml:space="preserve">:  </w:t>
      </w:r>
      <w:r>
        <w:rPr>
          <w:rFonts w:ascii="FTKTPV+MicrosoftYaHei"/>
          <w:color w:val="000000"/>
          <w:spacing w:val="0"/>
          <w:sz w:val="22"/>
        </w:rPr>
        <w:t>18051924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CREEN+MicrosoftYaHei" w:hAnsi="VCREEN+MicrosoftYaHei" w:cs="VCREEN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性别</w:t>
      </w:r>
      <w:r>
        <w:rPr>
          <w:rFonts w:ascii="FTKTPV+MicrosoftYaHei"/>
          <w:color w:val="000000"/>
          <w:spacing w:val="0"/>
          <w:sz w:val="22"/>
        </w:rPr>
        <w:t xml:space="preserve">: </w:t>
      </w:r>
      <w:r>
        <w:rPr>
          <w:rFonts w:ascii="VCREEN+MicrosoftYaHei" w:hAnsi="VCREEN+MicrosoftYaHei" w:cs="VCREEN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CREEN+MicrosoftYaHei" w:hAnsi="VCREEN+MicrosoftYaHei" w:cs="VCREEN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单位</w:t>
      </w:r>
      <w:r>
        <w:rPr>
          <w:rFonts w:ascii="FTKTPV+MicrosoftYaHei"/>
          <w:color w:val="000000"/>
          <w:spacing w:val="0"/>
          <w:sz w:val="22"/>
        </w:rPr>
        <w:t xml:space="preserve">:  </w:t>
      </w:r>
      <w:r>
        <w:rPr>
          <w:rFonts w:ascii="VCREEN+MicrosoftYaHei" w:hAnsi="VCREEN+MicrosoftYaHei" w:cs="VCREEN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TKTPV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部门</w:t>
      </w:r>
      <w:r>
        <w:rPr>
          <w:rFonts w:ascii="FTKTP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KTPV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联系方式</w:t>
      </w:r>
      <w:r>
        <w:rPr>
          <w:rFonts w:ascii="FTKTPV+MicrosoftYaHei"/>
          <w:color w:val="000000"/>
          <w:spacing w:val="0"/>
          <w:sz w:val="22"/>
        </w:rPr>
        <w:t>:  185****6122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KTPV+MicrosoftYaHei"/>
          <w:color w:val="000000"/>
          <w:spacing w:val="0"/>
          <w:sz w:val="22"/>
        </w:rPr>
      </w:pPr>
      <w:r>
        <w:rPr>
          <w:rFonts w:ascii="VCREEN+MicrosoftYaHei" w:hAnsi="VCREEN+MicrosoftYaHei" w:cs="VCREEN+MicrosoftYaHei"/>
          <w:color w:val="000000"/>
          <w:spacing w:val="0"/>
          <w:sz w:val="22"/>
        </w:rPr>
        <w:t>身份证号</w:t>
      </w:r>
      <w:r>
        <w:rPr>
          <w:rFonts w:ascii="FTKTPV+MicrosoftYaHei"/>
          <w:color w:val="000000"/>
          <w:spacing w:val="0"/>
          <w:sz w:val="22"/>
        </w:rPr>
        <w:t>: 110105********0046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CREEN+MicrosoftYaHei" w:hAnsi="VCREEN+MicrosoftYaHei" w:cs="VCREEN+MicrosoftYaHei"/>
          <w:color w:val="000000"/>
          <w:spacing w:val="0"/>
          <w:sz w:val="28"/>
        </w:rPr>
      </w:pPr>
      <w:r>
        <w:rPr>
          <w:rFonts w:ascii="VCREEN+MicrosoftYaHei" w:hAnsi="VCREEN+MicrosoftYaHei" w:cs="VCREEN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CREEN+MicrosoftYaHei" w:hAnsi="VCREEN+MicrosoftYaHei" w:cs="VCREEN+MicrosoftYaHei"/>
          <w:color w:val="000000"/>
          <w:spacing w:val="0"/>
          <w:sz w:val="28"/>
        </w:rPr>
      </w:pPr>
      <w:r>
        <w:rPr>
          <w:rFonts w:ascii="VCREEN+MicrosoftYaHei" w:hAnsi="VCREEN+MicrosoftYaHei" w:cs="VCREEN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尊敬的白莹莹女士：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06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2221" w:x="1169" w:y="3635"/>
        <w:widowControl w:val="off"/>
        <w:autoSpaceDE w:val="off"/>
        <w:autoSpaceDN w:val="off"/>
        <w:spacing w:before="0" w:after="0" w:line="221" w:lineRule="exact"/>
        <w:ind w:left="34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2221" w:x="1169" w:y="3635"/>
        <w:widowControl w:val="off"/>
        <w:autoSpaceDE w:val="off"/>
        <w:autoSpaceDN w:val="off"/>
        <w:spacing w:before="0" w:after="0" w:line="38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ITQSAM+Wingdings-Regular" w:hAnsi="ITQSAM+Wingdings-Regular" w:cs="ITQSAM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TQSAM+Wingdings-Regular" w:hAnsi="ITQSAM+Wingdings-Regular" w:cs="ITQSAM+Wingdings-Regular"/>
          <w:color w:val="000000"/>
          <w:spacing w:val="0"/>
          <w:sz w:val="23"/>
        </w:rPr>
      </w:pPr>
      <w:r>
        <w:rPr>
          <w:rFonts w:ascii="ITQSAM+Wingdings-Regular" w:hAnsi="ITQSAM+Wingdings-Regular" w:cs="ITQSAM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白莹莹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37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37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膝</w:t>
      </w:r>
      <w:r>
        <w:rPr>
          <w:rFonts w:ascii="FangSong" w:hAnsi="FangSong" w:cs="FangSong"/>
          <w:color w:val="000000"/>
          <w:spacing w:val="0"/>
          <w:sz w:val="22"/>
        </w:rPr>
        <w:t>关节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090" w:x="1190" w:y="48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多种多样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发病。</w:t>
      </w:r>
    </w:p>
    <w:p>
      <w:pPr>
        <w:pStyle w:val="Normal"/>
        <w:framePr w:w="4090" w:x="1190" w:y="48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55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983" w:x="1190" w:y="61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6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而成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3" w:x="1440" w:y="67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4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74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1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5" w:x="1190" w:y="845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5" w:x="1190" w:y="8454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91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29" w:x="1190" w:y="97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329" w:x="1190" w:y="9776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29" w:x="1190" w:y="977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8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见生</w:t>
      </w:r>
      <w:r>
        <w:rPr>
          <w:rFonts w:ascii="FangSong" w:hAnsi="FangSong" w:cs="FangSong"/>
          <w:color w:val="000000"/>
          <w:spacing w:val="0"/>
          <w:sz w:val="22"/>
        </w:rPr>
        <w:t>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、女性月</w:t>
      </w:r>
      <w:r>
        <w:rPr>
          <w:rFonts w:ascii="FangSong" w:hAnsi="FangSong" w:cs="FangSong"/>
          <w:color w:val="000000"/>
          <w:spacing w:val="0"/>
          <w:sz w:val="22"/>
        </w:rPr>
        <w:t>经未凈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081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</w:p>
    <w:p>
      <w:pPr>
        <w:pStyle w:val="Normal"/>
        <w:framePr w:w="10411" w:x="1440" w:y="1081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094" w:x="1080" w:y="117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10.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(6.2 %)[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209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代</w:t>
      </w:r>
      <w:r>
        <w:rPr>
          <w:rFonts w:ascii="FangSong" w:hAnsi="FangSong" w:cs="FangSong"/>
          <w:color w:val="000000"/>
          <w:spacing w:val="0"/>
          <w:sz w:val="22"/>
        </w:rPr>
        <w:t>表近</w:t>
      </w:r>
      <w:r>
        <w:rPr>
          <w:rFonts w:ascii="FangSong"/>
          <w:color w:val="000000"/>
          <w:spacing w:val="0"/>
          <w:sz w:val="22"/>
        </w:rPr>
        <w:t>2-3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调整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1209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白异常时，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实际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2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31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总检室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135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141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82" w:x="1190" w:y="1450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2" w:x="1190" w:y="1450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82" w:x="1190" w:y="1450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33.7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33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粥</w:t>
      </w:r>
      <w:r>
        <w:rPr>
          <w:rFonts w:ascii="FangSong" w:hAnsi="FangSong" w:cs="FangSong"/>
          <w:color w:val="000000"/>
          <w:spacing w:val="0"/>
          <w:sz w:val="22"/>
        </w:rPr>
        <w:t>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313" w:x="1190" w:y="24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275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275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4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34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587" w:x="1190" w:y="40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伴囊</w:t>
      </w:r>
      <w:r>
        <w:rPr>
          <w:rFonts w:ascii="FangSong" w:hAnsi="FangSong" w:cs="FangSong"/>
          <w:color w:val="000000"/>
          <w:spacing w:val="0"/>
          <w:sz w:val="22"/>
        </w:rPr>
        <w:t>壁钙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442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4427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1" w:x="1190" w:y="511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601" w:x="1190" w:y="511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迂曲延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8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580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72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72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:2018-06-12</w:t>
      </w:r>
    </w:p>
    <w:p>
      <w:pPr>
        <w:pStyle w:val="Normal"/>
        <w:framePr w:w="1558" w:x="5292" w:y="889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5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58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016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04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74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1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1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445.9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27.39,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151mmHg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2112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膝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  <w:r>
        <w:rPr>
          <w:rFonts w:ascii="FangSong" w:hAnsi="FangSong" w:cs="FangSong"/>
          <w:color w:val="000000"/>
          <w:spacing w:val="0"/>
          <w:sz w:val="20"/>
        </w:rPr>
        <w:t>活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受</w:t>
      </w:r>
      <w:r>
        <w:rPr>
          <w:rFonts w:ascii="FangSong" w:hAnsi="FangSong" w:cs="FangSong"/>
          <w:color w:val="000000"/>
          <w:spacing w:val="0"/>
          <w:sz w:val="20"/>
        </w:rPr>
        <w:t>限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112" w:x="8050" w:y="101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膝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  <w:r>
        <w:rPr>
          <w:rFonts w:ascii="FangSong" w:hAnsi="FangSong" w:cs="FangSong"/>
          <w:color w:val="000000"/>
          <w:spacing w:val="0"/>
          <w:sz w:val="20"/>
        </w:rPr>
        <w:t>活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受</w:t>
      </w:r>
      <w:r>
        <w:rPr>
          <w:rFonts w:ascii="FangSong" w:hAnsi="FangSong" w:cs="FangSong"/>
          <w:color w:val="000000"/>
          <w:spacing w:val="0"/>
          <w:sz w:val="20"/>
        </w:rPr>
        <w:t>限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675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701" w:x="805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痔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2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40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33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19.6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57.1pt;z-index:-187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孕</w:t>
      </w:r>
      <w:r>
        <w:rPr>
          <w:rFonts w:ascii="FangSong"/>
          <w:color w:val="000000"/>
          <w:spacing w:val="0"/>
          <w:sz w:val="20"/>
        </w:rPr>
        <w:t>3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式自然产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50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17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1990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外阴</w:t>
      </w:r>
    </w:p>
    <w:p>
      <w:pPr>
        <w:pStyle w:val="Normal"/>
        <w:framePr w:w="1507" w:x="221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902" w:x="2210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3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306" w:x="8050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8050" w:y="131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大。</w:t>
      </w:r>
    </w:p>
    <w:p>
      <w:pPr>
        <w:pStyle w:val="Normal"/>
        <w:framePr w:w="1810" w:x="9480" w:y="13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1104" w:x="1450" w:y="14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4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42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4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4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4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03.35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40.8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41.7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79.3pt;z-index:-21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21.1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58.55pt;z-index:-223;width:507pt;height:114.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680pt;z-index:-227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9.2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36.75pt;z-index:-23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1381.73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1.45</w:t>
      </w:r>
    </w:p>
    <w:p>
      <w:pPr>
        <w:pStyle w:val="Normal"/>
        <w:framePr w:w="1810" w:x="9480" w:y="33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45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6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4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68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7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70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813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81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8132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4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8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89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88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89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9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9301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8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88.4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25.85pt;z-index:-25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5.9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23.5pt;z-index:-26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5.25pt;margin-top:261.9pt;z-index:-26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01.3pt;z-index:-2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338.7pt;z-index:-27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9pt;margin-top:384.8pt;z-index:-2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4.9pt;margin-top:422.35pt;z-index:-28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70.35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21mm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团</w:t>
      </w:r>
    </w:p>
    <w:p>
      <w:pPr>
        <w:pStyle w:val="Normal"/>
        <w:framePr w:w="7618" w:x="4150" w:y="100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324" w:x="4150" w:y="10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08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可见斑块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2.7mmx1.4mm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规则强回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欠光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13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9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37mmx44mmx36mm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</w:p>
    <w:p>
      <w:pPr>
        <w:pStyle w:val="Normal"/>
        <w:framePr w:w="7745" w:x="4150" w:y="139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半环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25.8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8.7pt;margin-top:146pt;z-index:-30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09.3pt;margin-top:146pt;z-index:-30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369.7pt;margin-top:146pt;z-index:-31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伴囊</w:t>
      </w:r>
      <w:r>
        <w:rPr>
          <w:rFonts w:ascii="FangSong" w:hAnsi="FangSong" w:cs="FangSong"/>
          <w:color w:val="000000"/>
          <w:spacing w:val="0"/>
          <w:sz w:val="22"/>
        </w:rPr>
        <w:t>壁钙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</w:p>
    <w:p>
      <w:pPr>
        <w:pStyle w:val="Normal"/>
        <w:framePr w:w="1655" w:x="2066" w:y="33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788" w:x="7747" w:y="45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</w:t>
      </w:r>
      <w:r>
        <w:rPr>
          <w:rFonts w:ascii="FangSong" w:hAnsi="FangSong" w:cs="FangSong"/>
          <w:color w:val="000000"/>
          <w:spacing w:val="0"/>
          <w:sz w:val="22"/>
        </w:rPr>
        <w:t>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李</w:t>
      </w:r>
      <w:r>
        <w:rPr>
          <w:rFonts w:ascii="FangSong" w:hAnsi="FangSong" w:cs="FangSong"/>
          <w:color w:val="000000"/>
          <w:spacing w:val="0"/>
          <w:sz w:val="22"/>
        </w:rPr>
        <w:t>婷婷</w:t>
      </w:r>
    </w:p>
    <w:p>
      <w:pPr>
        <w:pStyle w:val="Normal"/>
        <w:framePr w:w="3014" w:x="1975" w:y="45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2018-06-07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58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58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迂曲延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</w:p>
    <w:p>
      <w:pPr>
        <w:pStyle w:val="Normal"/>
        <w:framePr w:w="658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4824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迂曲延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2018-06-07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3.55pt;margin-top:44.1pt;z-index:-3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25.85pt;z-index:-3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89.7pt;margin-top:146pt;z-index:-343;width:232.55pt;height:21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66.4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4pt;margin-top:54.15pt;z-index:-3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23.65pt;margin-top:28.95pt;z-index:-3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29.3pt;margin-top:102.05pt;z-index:-3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15.5pt;margin-top:525.05pt;z-index:-3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29.3pt;margin-top:29.95pt;z-index:-37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32.15pt;margin-top:77.25pt;z-index:-37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：白莹莹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2018-06-07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8.27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4.43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90.3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343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160.75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174.45pt;z-index:-3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776.6pt;z-index:-3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0pt;margin-top:0pt;z-index:-4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：白莹莹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499" w:x="6398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3243" w:x="900" w:y="751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肿瘤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长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3243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3243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3243" w:x="900" w:y="75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702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TSGF</w:t>
      </w:r>
    </w:p>
    <w:p>
      <w:pPr>
        <w:pStyle w:val="Normal"/>
        <w:framePr w:w="702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702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702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702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702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702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601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&lt;64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702" w:x="515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340.2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5.87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1.46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1.37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3.31</w:t>
      </w:r>
    </w:p>
    <w:p>
      <w:pPr>
        <w:pStyle w:val="Normal"/>
        <w:framePr w:w="803" w:x="515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1206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2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2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808" w:x="6281" w:y="112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6" w:x="9223" w:y="11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5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56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CA242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5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</w:t>
      </w:r>
    </w:p>
    <w:p>
      <w:pPr>
        <w:pStyle w:val="Normal"/>
        <w:framePr w:w="904" w:x="7363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15.59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20.00</w:t>
      </w:r>
    </w:p>
    <w:p>
      <w:pPr>
        <w:pStyle w:val="Normal"/>
        <w:framePr w:w="1307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CA242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601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8.7</w:t>
      </w:r>
    </w:p>
    <w:p>
      <w:pPr>
        <w:pStyle w:val="Normal"/>
        <w:framePr w:w="702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21.5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10.34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2.68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1" style="position:absolute;margin-left:45.7pt;margin-top:29.95pt;z-index:-4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137.35pt;z-index:-411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2.7pt;margin-top:342.9pt;z-index:-4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4.3pt;margin-top:356.6pt;z-index:-419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2.7pt;margin-top:592.65pt;z-index:-4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606.3pt;z-index:-427;width:533.4pt;height:171.3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0pt;margin-top:0pt;z-index:-4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18051924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：白莹莹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131806070034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2018-06-07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2018-06-12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11.77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8" style="position:absolute;margin-left:45.7pt;margin-top:29.95pt;z-index:-4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43.9pt;margin-top:137.35pt;z-index:-43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43.9pt;margin-top:776.6pt;z-index:-4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0pt;margin-top:0pt;z-index:-4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CREEN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e2d944b-0000-0000-0000-000000000000}"/>
  </w:font>
  <w:font w:name="FTKTP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c4edea1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ITQSA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fef4f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styles" Target="styles.xml" /><Relationship Id="rId114" Type="http://schemas.openxmlformats.org/officeDocument/2006/relationships/fontTable" Target="fontTable.xml" /><Relationship Id="rId115" Type="http://schemas.openxmlformats.org/officeDocument/2006/relationships/settings" Target="settings.xml" /><Relationship Id="rId116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3508</Words>
  <Characters>6972</Characters>
  <Application>Aspose</Application>
  <DocSecurity>0</DocSecurity>
  <Lines>900</Lines>
  <Paragraphs>900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7388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2019-12-19T17:14:17+08:00</dcterms:created>
  <dcterms:modified xmlns:xsi="http://www.w3.org/2001/XMLSchema-instance" xmlns:dcterms="http://purl.org/dc/terms/" xsi:type="dcterms:W3CDTF">2019-12-19T17:14:17+08:00</dcterms:modified>
</coreProperties>
</file>