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18"/>
        </w:rPr>
      </w:pPr>
      <w:r>
        <w:rPr>
          <w:rFonts w:ascii="HTPJUT+MicrosoftYaHei" w:hAnsi="HTPJUT+MicrosoftYaHei" w:cs="HTPJU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RJFHK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体检日期</w:t>
      </w:r>
      <w:r>
        <w:rPr>
          <w:rFonts w:ascii="SRJFHK+MicrosoftYaHei"/>
          <w:color w:val="000000"/>
          <w:spacing w:val="0"/>
          <w:sz w:val="22"/>
        </w:rPr>
        <w:t>:  2018-05-04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姓名</w:t>
      </w:r>
      <w:r>
        <w:rPr>
          <w:rFonts w:ascii="SRJFHK+MicrosoftYaHei"/>
          <w:color w:val="000000"/>
          <w:spacing w:val="0"/>
          <w:sz w:val="22"/>
        </w:rPr>
        <w:t xml:space="preserve">:  </w:t>
      </w:r>
      <w:r>
        <w:rPr>
          <w:rFonts w:ascii="HTPJUT+MicrosoftYaHei" w:hAnsi="HTPJUT+MicrosoftYaHei" w:cs="HTPJUT+MicrosoftYaHei"/>
          <w:color w:val="000000"/>
          <w:spacing w:val="0"/>
          <w:sz w:val="22"/>
        </w:rPr>
        <w:t>关利军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RJFHK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卡号</w:t>
      </w:r>
      <w:r>
        <w:rPr>
          <w:rFonts w:ascii="SRJFHK+MicrosoftYaHei"/>
          <w:color w:val="000000"/>
          <w:spacing w:val="0"/>
          <w:sz w:val="22"/>
        </w:rPr>
        <w:t xml:space="preserve">:  </w:t>
      </w:r>
      <w:r>
        <w:rPr>
          <w:rFonts w:ascii="SRJFHK+MicrosoftYaHei"/>
          <w:color w:val="000000"/>
          <w:spacing w:val="0"/>
          <w:sz w:val="22"/>
        </w:rPr>
        <w:t>16012173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性别</w:t>
      </w:r>
      <w:r>
        <w:rPr>
          <w:rFonts w:ascii="SRJFHK+MicrosoftYaHei"/>
          <w:color w:val="000000"/>
          <w:spacing w:val="0"/>
          <w:sz w:val="22"/>
        </w:rPr>
        <w:t xml:space="preserve">: </w:t>
      </w:r>
      <w:r>
        <w:rPr>
          <w:rFonts w:ascii="HTPJUT+MicrosoftYaHei" w:hAnsi="HTPJUT+MicrosoftYaHei" w:cs="HTPJUT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单位</w:t>
      </w:r>
      <w:r>
        <w:rPr>
          <w:rFonts w:ascii="SRJFHK+MicrosoftYaHei"/>
          <w:color w:val="000000"/>
          <w:spacing w:val="0"/>
          <w:sz w:val="22"/>
        </w:rPr>
        <w:t xml:space="preserve">:  </w:t>
      </w:r>
      <w:r>
        <w:rPr>
          <w:rFonts w:ascii="HTPJUT+MicrosoftYaHei" w:hAnsi="HTPJUT+MicrosoftYaHei" w:cs="HTPJU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JFHK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部门</w:t>
      </w:r>
      <w:r>
        <w:rPr>
          <w:rFonts w:ascii="SRJFH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RJFHK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联系方式</w:t>
      </w:r>
      <w:r>
        <w:rPr>
          <w:rFonts w:ascii="SRJFHK+MicrosoftYaHei"/>
          <w:color w:val="000000"/>
          <w:spacing w:val="0"/>
          <w:sz w:val="22"/>
        </w:rPr>
        <w:t>:  137****5785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RJFHK+MicrosoftYaHei"/>
          <w:color w:val="000000"/>
          <w:spacing w:val="0"/>
          <w:sz w:val="22"/>
        </w:rPr>
      </w:pPr>
      <w:r>
        <w:rPr>
          <w:rFonts w:ascii="HTPJUT+MicrosoftYaHei" w:hAnsi="HTPJUT+MicrosoftYaHei" w:cs="HTPJUT+MicrosoftYaHei"/>
          <w:color w:val="000000"/>
          <w:spacing w:val="0"/>
          <w:sz w:val="22"/>
        </w:rPr>
        <w:t>身份证号</w:t>
      </w:r>
      <w:r>
        <w:rPr>
          <w:rFonts w:ascii="SRJFHK+MicrosoftYaHei"/>
          <w:color w:val="000000"/>
          <w:spacing w:val="0"/>
          <w:sz w:val="22"/>
        </w:rPr>
        <w:t>: 210112********0272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28"/>
        </w:rPr>
      </w:pPr>
      <w:r>
        <w:rPr>
          <w:rFonts w:ascii="HTPJUT+MicrosoftYaHei" w:hAnsi="HTPJUT+MicrosoftYaHei" w:cs="HTPJU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TPJUT+MicrosoftYaHei" w:hAnsi="HTPJUT+MicrosoftYaHei" w:cs="HTPJUT+MicrosoftYaHei"/>
          <w:color w:val="000000"/>
          <w:spacing w:val="0"/>
          <w:sz w:val="28"/>
        </w:rPr>
      </w:pPr>
      <w:r>
        <w:rPr>
          <w:rFonts w:ascii="HTPJUT+MicrosoftYaHei" w:hAnsi="HTPJUT+MicrosoftYaHei" w:cs="HTPJU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尊敬的关利军先生：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NTUBN+Wingdings-Regular" w:hAnsi="SNTUBN+Wingdings-Regular" w:cs="SNTUB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SNTUBN+Wingdings-Regular" w:hAnsi="SNTUBN+Wingdings-Regular" w:cs="SNTUB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NTUBN+Wingdings-Regular" w:hAnsi="SNTUBN+Wingdings-Regular" w:cs="SNTUBN+Wingdings-Regular"/>
          <w:color w:val="000000"/>
          <w:spacing w:val="0"/>
          <w:sz w:val="23"/>
        </w:rPr>
      </w:pPr>
      <w:r>
        <w:rPr>
          <w:rFonts w:ascii="SNTUBN+Wingdings-Regular" w:hAnsi="SNTUBN+Wingdings-Regular" w:cs="SNTUB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关利军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</w:t>
      </w:r>
      <w:r>
        <w:rPr>
          <w:rFonts w:ascii="FangSong" w:hAnsi="FangSong" w:cs="FangSong"/>
          <w:color w:val="000000"/>
          <w:spacing w:val="0"/>
          <w:sz w:val="28"/>
        </w:rPr>
        <w:t>关</w:t>
      </w:r>
      <w:r>
        <w:rPr>
          <w:rFonts w:ascii="FangSong" w:hAnsi="FangSong" w:cs="FangSong"/>
          <w:color w:val="000000"/>
          <w:spacing w:val="0"/>
          <w:sz w:val="28"/>
        </w:rPr>
        <w:t>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</w:t>
      </w:r>
      <w:r>
        <w:rPr>
          <w:rFonts w:ascii="FangSong" w:hAnsi="FangSong" w:cs="FangSong"/>
          <w:color w:val="000000"/>
          <w:spacing w:val="0"/>
          <w:sz w:val="28"/>
        </w:rPr>
        <w:t>关的异常结果，我们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10822" w:x="1190" w:y="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状腺素增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(22.39 pmol/L)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状腺激素降低</w:t>
      </w:r>
      <w:r>
        <w:rPr>
          <w:rFonts w:ascii="FangSong"/>
          <w:color w:val="000000"/>
          <w:spacing w:val="0"/>
          <w:sz w:val="22"/>
        </w:rPr>
        <w:t>(0.1 mIU/L)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大部</w:t>
      </w:r>
    </w:p>
    <w:p>
      <w:pPr>
        <w:pStyle w:val="Normal"/>
        <w:framePr w:w="10822" w:x="1190" w:y="236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切</w:t>
      </w:r>
      <w:r>
        <w:rPr>
          <w:rFonts w:ascii="FangSong" w:hAnsi="FangSong" w:cs="FangSong"/>
          <w:color w:val="000000"/>
          <w:spacing w:val="0"/>
          <w:sz w:val="22"/>
        </w:rPr>
        <w:t>除手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状腺缺如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2788" w:x="1440" w:y="29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按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嘱执</w:t>
      </w:r>
      <w:r>
        <w:rPr>
          <w:rFonts w:ascii="FangSong" w:hAnsi="FangSong" w:cs="FangSong"/>
          <w:color w:val="000000"/>
          <w:spacing w:val="0"/>
          <w:sz w:val="22"/>
        </w:rPr>
        <w:t>行。</w:t>
      </w:r>
    </w:p>
    <w:p>
      <w:pPr>
        <w:pStyle w:val="Normal"/>
        <w:framePr w:w="7900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(5.67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(4.21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(1.06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45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66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7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伪影可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730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检查、诊治。</w:t>
      </w:r>
    </w:p>
    <w:p>
      <w:pPr>
        <w:pStyle w:val="Normal"/>
        <w:framePr w:w="1655" w:x="1579" w:y="8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9805" w:x="1190" w:y="84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游离前列腺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/>
          <w:color w:val="000000"/>
          <w:spacing w:val="0"/>
          <w:sz w:val="22"/>
        </w:rPr>
        <w:t>&lt;0.19[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88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(4.502 ng/ml)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/>
          <w:color w:val="000000"/>
          <w:spacing w:val="0"/>
          <w:sz w:val="22"/>
        </w:rPr>
        <w:t>PSA/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/>
          <w:color w:val="000000"/>
          <w:spacing w:val="0"/>
          <w:sz w:val="22"/>
        </w:rPr>
        <w:t>PSA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/>
          <w:color w:val="000000"/>
          <w:spacing w:val="0"/>
          <w:sz w:val="22"/>
        </w:rPr>
        <w:t>(0.04 )</w:t>
      </w:r>
    </w:p>
    <w:p>
      <w:pPr>
        <w:pStyle w:val="Normal"/>
        <w:framePr w:w="10405" w:x="1440" w:y="88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殖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的其它疾病，及时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0405" w:x="1440" w:y="88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475" w:x="1190" w:y="97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0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00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237" w:x="1190" w:y="107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1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13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207" w:x="1190" w:y="116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1682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3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3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372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143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97.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97.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178.5cm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27.18,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大部</w:t>
      </w:r>
      <w:r>
        <w:rPr>
          <w:rFonts w:ascii="FangSong" w:hAnsi="FangSong" w:cs="FangSong"/>
          <w:color w:val="000000"/>
          <w:spacing w:val="0"/>
          <w:sz w:val="20"/>
        </w:rPr>
        <w:t>切</w:t>
      </w:r>
      <w:r>
        <w:rPr>
          <w:rFonts w:ascii="FangSong" w:hAnsi="FangSong" w:cs="FangSong"/>
          <w:color w:val="000000"/>
          <w:spacing w:val="0"/>
          <w:sz w:val="20"/>
        </w:rPr>
        <w:t>除手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状腺癌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年行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大部</w:t>
      </w:r>
      <w:r>
        <w:rPr>
          <w:rFonts w:ascii="FangSong" w:hAnsi="FangSong" w:cs="FangSong"/>
          <w:color w:val="000000"/>
          <w:spacing w:val="0"/>
          <w:sz w:val="20"/>
        </w:rPr>
        <w:t>切</w:t>
      </w:r>
      <w:r>
        <w:rPr>
          <w:rFonts w:ascii="FangSong" w:hAnsi="FangSong" w:cs="FangSong"/>
          <w:color w:val="000000"/>
          <w:spacing w:val="0"/>
          <w:sz w:val="20"/>
        </w:rPr>
        <w:t>除手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</w:t>
      </w:r>
    </w:p>
    <w:p>
      <w:pPr>
        <w:pStyle w:val="Normal"/>
        <w:framePr w:w="3707" w:x="2210" w:y="962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腺癌</w:t>
      </w:r>
      <w:r>
        <w:rPr>
          <w:rFonts w:ascii="FangSong" w:hAnsi="FangSong" w:cs="FangSong"/>
          <w:color w:val="000000"/>
          <w:spacing w:val="0"/>
          <w:sz w:val="20"/>
        </w:rPr>
        <w:t>）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7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3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2210" w:y="122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2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右眼矫正视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78.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64.7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1.2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88.7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关</w:t>
      </w:r>
      <w:r>
        <w:rPr>
          <w:rFonts w:ascii="FangSong" w:hAnsi="FangSong" w:cs="FangSong"/>
          <w:color w:val="000000"/>
          <w:spacing w:val="0"/>
          <w:sz w:val="20"/>
        </w:rPr>
        <w:t xml:space="preserve">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28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1355.67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13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</w:t>
      </w:r>
    </w:p>
    <w:p>
      <w:pPr>
        <w:pStyle w:val="Normal"/>
        <w:framePr w:w="1810" w:x="9480" w:y="14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24.9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2.5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2.6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0.0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DOB:13.70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96.3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35.7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73.1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27mm,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7618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术后缺如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术后缺如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618" w:x="4150" w:y="1116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166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残余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</w:p>
    <w:p>
      <w:pPr>
        <w:pStyle w:val="Normal"/>
        <w:framePr w:w="7745" w:x="4150" w:y="116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15mmx8mm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模糊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</w:p>
    <w:p>
      <w:pPr>
        <w:pStyle w:val="Normal"/>
        <w:framePr w:w="7745" w:x="4150" w:y="1166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/>
          <w:color w:val="000000"/>
          <w:spacing w:val="0"/>
          <w:sz w:val="22"/>
        </w:rPr>
        <w:t>17cm/s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RI:0.58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</w:p>
    <w:p>
      <w:pPr>
        <w:pStyle w:val="Normal"/>
        <w:framePr w:w="7745" w:x="4150" w:y="1166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17mmx6mm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16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1213" w:x="2066" w:y="129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7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3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58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04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04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04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状腺缺如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2018-05-04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野肋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叠处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边缘清楚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555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伪影可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2018-05-04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21.9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：关利军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：关利军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308.6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状腺激素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2.48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22.39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499" w:x="6398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12500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2500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4.502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0.04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12.7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26.3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47.1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60.85pt;z-index:-40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：关利军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131805040002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2018-05-05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4" style="position:absolute;margin-left:45.7pt;margin-top:29.95pt;z-index:-4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137.35pt;z-index:-42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776.6pt;z-index:-4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TPJU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cda2f87-0000-0000-0000-000000000000}"/>
  </w:font>
  <w:font w:name="SRJFH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4e3968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NTUB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05a5f3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styles" Target="styles.xml" /><Relationship Id="rId11" Type="http://schemas.openxmlformats.org/officeDocument/2006/relationships/image" Target="media/image11.jpeg" /><Relationship Id="rId110" Type="http://schemas.openxmlformats.org/officeDocument/2006/relationships/fontTable" Target="fontTable.xml" /><Relationship Id="rId111" Type="http://schemas.openxmlformats.org/officeDocument/2006/relationships/settings" Target="settings.xml" /><Relationship Id="rId112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2855</Words>
  <Characters>6182</Characters>
  <Application>Aspose</Application>
  <DocSecurity>0</DocSecurity>
  <Lines>823</Lines>
  <Paragraphs>823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2019-12-19T17:15:15+08:00</dcterms:created>
  <dcterms:modified xmlns:xsi="http://www.w3.org/2001/XMLSchema-instance" xmlns:dcterms="http://purl.org/dc/terms/" xsi:type="dcterms:W3CDTF">2019-12-19T17:15:15+08:00</dcterms:modified>
</coreProperties>
</file>