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AORDQK+MicrosoftYaHei" w:hAnsi="AORDQK+MicrosoftYaHei" w:cs="AORDQK+MicrosoftYaHei"/>
          <w:color w:val="000000"/>
          <w:spacing w:val="0"/>
          <w:sz w:val="18"/>
        </w:rPr>
      </w:pPr>
      <w:r>
        <w:rPr>
          <w:rFonts w:ascii="AORDQK+MicrosoftYaHei" w:hAnsi="AORDQK+MicrosoftYaHei" w:cs="AORDQK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TUWP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体检日期</w:t>
      </w:r>
      <w:r>
        <w:rPr>
          <w:rFonts w:ascii="VDTUWP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AORDQK+MicrosoftYaHei" w:hAnsi="AORDQK+MicrosoftYaHei" w:cs="AORDQK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姓名</w:t>
      </w:r>
      <w:r>
        <w:rPr>
          <w:rFonts w:ascii="VDTUWP+MicrosoftYaHei"/>
          <w:color w:val="000000"/>
          <w:spacing w:val="0"/>
          <w:sz w:val="22"/>
        </w:rPr>
        <w:t xml:space="preserve">:  </w:t>
      </w:r>
      <w:r>
        <w:rPr>
          <w:rFonts w:ascii="AORDQK+MicrosoftYaHei" w:hAnsi="AORDQK+MicrosoftYaHei" w:cs="AORDQK+MicrosoftYaHei"/>
          <w:color w:val="000000"/>
          <w:spacing w:val="0"/>
          <w:sz w:val="22"/>
        </w:rPr>
        <w:t>康俊丰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TUWP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卡号</w:t>
      </w:r>
      <w:r>
        <w:rPr>
          <w:rFonts w:ascii="VDTUWP+MicrosoftYaHei"/>
          <w:color w:val="000000"/>
          <w:spacing w:val="0"/>
          <w:sz w:val="22"/>
        </w:rPr>
        <w:t xml:space="preserve">:  </w:t>
      </w:r>
      <w:r>
        <w:rPr>
          <w:rFonts w:ascii="VDTUWP+MicrosoftYaHei"/>
          <w:color w:val="000000"/>
          <w:spacing w:val="0"/>
          <w:sz w:val="22"/>
        </w:rPr>
        <w:t>16013595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ORDQK+MicrosoftYaHei" w:hAnsi="AORDQK+MicrosoftYaHei" w:cs="AORDQK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性别</w:t>
      </w:r>
      <w:r>
        <w:rPr>
          <w:rFonts w:ascii="VDTUWP+MicrosoftYaHei"/>
          <w:color w:val="000000"/>
          <w:spacing w:val="0"/>
          <w:sz w:val="22"/>
        </w:rPr>
        <w:t xml:space="preserve">: </w:t>
      </w:r>
      <w:r>
        <w:rPr>
          <w:rFonts w:ascii="AORDQK+MicrosoftYaHei" w:hAnsi="AORDQK+MicrosoftYaHei" w:cs="AORDQK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ORDQK+MicrosoftYaHei" w:hAnsi="AORDQK+MicrosoftYaHei" w:cs="AORDQK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单位</w:t>
      </w:r>
      <w:r>
        <w:rPr>
          <w:rFonts w:ascii="VDTUWP+MicrosoftYaHei"/>
          <w:color w:val="000000"/>
          <w:spacing w:val="0"/>
          <w:sz w:val="22"/>
        </w:rPr>
        <w:t xml:space="preserve">:  </w:t>
      </w:r>
      <w:r>
        <w:rPr>
          <w:rFonts w:ascii="AORDQK+MicrosoftYaHei" w:hAnsi="AORDQK+MicrosoftYaHei" w:cs="AORDQK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DTUWP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部门</w:t>
      </w:r>
      <w:r>
        <w:rPr>
          <w:rFonts w:ascii="VDTUWP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TUWP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联系方式</w:t>
      </w:r>
      <w:r>
        <w:rPr>
          <w:rFonts w:ascii="VDTUWP+MicrosoftYaHei"/>
          <w:color w:val="000000"/>
          <w:spacing w:val="0"/>
          <w:sz w:val="22"/>
        </w:rPr>
        <w:t>:  135****6615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TUWP+MicrosoftYaHei"/>
          <w:color w:val="000000"/>
          <w:spacing w:val="0"/>
          <w:sz w:val="22"/>
        </w:rPr>
      </w:pPr>
      <w:r>
        <w:rPr>
          <w:rFonts w:ascii="AORDQK+MicrosoftYaHei" w:hAnsi="AORDQK+MicrosoftYaHei" w:cs="AORDQK+MicrosoftYaHei"/>
          <w:color w:val="000000"/>
          <w:spacing w:val="0"/>
          <w:sz w:val="22"/>
        </w:rPr>
        <w:t>身份证号</w:t>
      </w:r>
      <w:r>
        <w:rPr>
          <w:rFonts w:ascii="VDTUWP+MicrosoftYaHei"/>
          <w:color w:val="000000"/>
          <w:spacing w:val="0"/>
          <w:sz w:val="22"/>
        </w:rPr>
        <w:t>: 211221********0339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ORDQK+MicrosoftYaHei" w:hAnsi="AORDQK+MicrosoftYaHei" w:cs="AORDQK+MicrosoftYaHei"/>
          <w:color w:val="000000"/>
          <w:spacing w:val="0"/>
          <w:sz w:val="28"/>
        </w:rPr>
      </w:pPr>
      <w:r>
        <w:rPr>
          <w:rFonts w:ascii="AORDQK+MicrosoftYaHei" w:hAnsi="AORDQK+MicrosoftYaHei" w:cs="AORDQK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ORDQK+MicrosoftYaHei" w:hAnsi="AORDQK+MicrosoftYaHei" w:cs="AORDQK+MicrosoftYaHei"/>
          <w:color w:val="000000"/>
          <w:spacing w:val="0"/>
          <w:sz w:val="28"/>
        </w:rPr>
      </w:pPr>
      <w:r>
        <w:rPr>
          <w:rFonts w:ascii="AORDQK+MicrosoftYaHei" w:hAnsi="AORDQK+MicrosoftYaHei" w:cs="AORDQK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尊敬的康俊丰先生：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AAWKE+Wingdings-Regular" w:hAnsi="TAAWKE+Wingdings-Regular" w:cs="TAAWKE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TAAWKE+Wingdings-Regular" w:hAnsi="TAAWKE+Wingdings-Regular" w:cs="TAAWKE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AAWKE+Wingdings-Regular" w:hAnsi="TAAWKE+Wingdings-Regular" w:cs="TAAWKE+Wingdings-Regular"/>
          <w:color w:val="000000"/>
          <w:spacing w:val="0"/>
          <w:sz w:val="23"/>
        </w:rPr>
      </w:pPr>
      <w:r>
        <w:rPr>
          <w:rFonts w:ascii="TAAWKE+Wingdings-Regular" w:hAnsi="TAAWKE+Wingdings-Regular" w:cs="TAAWKE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康俊丰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</w:t>
      </w:r>
      <w:r>
        <w:rPr>
          <w:rFonts w:ascii="FangSong" w:hAnsi="FangSong" w:cs="FangSong"/>
          <w:color w:val="000000"/>
          <w:spacing w:val="0"/>
          <w:sz w:val="22"/>
        </w:rPr>
        <w:t>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491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(4.26 mIU/L)*</w:t>
      </w:r>
    </w:p>
    <w:p>
      <w:pPr>
        <w:pStyle w:val="Normal"/>
        <w:framePr w:w="5491" w:x="1190" w:y="431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5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53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检查结果：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/>
          <w:color w:val="000000"/>
          <w:spacing w:val="0"/>
          <w:sz w:val="22"/>
        </w:rPr>
        <w:t>(11.97x10^9/L)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(4.03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</w:p>
    <w:p>
      <w:pPr>
        <w:pStyle w:val="Normal"/>
        <w:framePr w:w="10405" w:x="1440" w:y="535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(0.67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、中性</w:t>
      </w:r>
      <w:r>
        <w:rPr>
          <w:rFonts w:ascii="FangSong" w:hAnsi="FangSong" w:cs="FangSong"/>
          <w:color w:val="000000"/>
          <w:spacing w:val="0"/>
          <w:sz w:val="22"/>
        </w:rPr>
        <w:t>粒细胞绝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(7.14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</w:p>
    <w:p>
      <w:pPr>
        <w:pStyle w:val="Normal"/>
        <w:framePr w:w="4314" w:x="1440" w:y="592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5488" w:x="1190" w:y="62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胶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/>
          <w:color w:val="000000"/>
          <w:spacing w:val="0"/>
          <w:sz w:val="22"/>
        </w:rPr>
        <w:t>CYFRA21-1</w:t>
      </w:r>
      <w:r>
        <w:rPr>
          <w:rFonts w:ascii="FangSong" w:hAnsi="FangSong" w:cs="FangSong"/>
          <w:color w:val="000000"/>
          <w:spacing w:val="0"/>
          <w:sz w:val="22"/>
        </w:rPr>
        <w:t>测定增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(4.03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6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待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72" w:x="1440" w:y="6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73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2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1.P-R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缩短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153" w:x="1190" w:y="806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/>
          <w:color w:val="000000"/>
          <w:spacing w:val="0"/>
          <w:sz w:val="22"/>
        </w:rPr>
        <w:t>P-R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缩短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/>
          <w:color w:val="000000"/>
          <w:spacing w:val="0"/>
          <w:sz w:val="22"/>
        </w:rPr>
        <w:t>QRS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、无心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异。</w:t>
      </w:r>
    </w:p>
    <w:p>
      <w:pPr>
        <w:pStyle w:val="Normal"/>
        <w:framePr w:w="8153" w:x="1190" w:y="80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(0.92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7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475" w:x="119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7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97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3333" w:x="1190" w:y="103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628" w:x="1440" w:y="107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118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82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4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60.5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60.5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25.52,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20.8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8.3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96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099" w:x="2239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12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P-R</w:t>
      </w: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缩短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34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DOB:11.40</w:t>
      </w:r>
    </w:p>
    <w:p>
      <w:pPr>
        <w:pStyle w:val="Normal"/>
        <w:framePr w:w="2198" w:x="914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9682" w:y="14382"/>
        <w:widowControl w:val="off"/>
        <w:autoSpaceDE w:val="off"/>
        <w:autoSpaceDN w:val="off"/>
        <w:spacing w:before="0" w:after="0" w:line="1292" w:lineRule="exact"/>
        <w:ind w:left="37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38.7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76.2pt;z-index:-211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33.5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71.1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98.25pt;z-index:-223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3mmx3mm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</w:t>
      </w:r>
      <w:r>
        <w:rPr>
          <w:rFonts w:ascii="FangSong" w:hAnsi="FangSong" w:cs="FangSong"/>
          <w:color w:val="000000"/>
          <w:spacing w:val="0"/>
          <w:sz w:val="22"/>
        </w:rPr>
        <w:t>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8.7pt;margin-top:146pt;z-index:-243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29.3pt;margin-top:146pt;z-index:-247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788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89.7pt;margin-top:146pt;z-index:-279;width:224.0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24pt;margin-top:54.15pt;z-index:-29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3.65pt;margin-top:28.95pt;z-index:-2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29.3pt;margin-top:102.05pt;z-index:-29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5.5pt;margin-top:525.05pt;z-index:-30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：康俊丰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11.97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33.7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4.03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60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6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6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160.7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174.45pt;z-index:-32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：康俊丰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</w:t>
      </w:r>
      <w:r>
        <w:rPr>
          <w:rFonts w:ascii="FangSong" w:hAnsi="FangSong" w:cs="FangSong"/>
          <w:color w:val="000000"/>
          <w:spacing w:val="0"/>
          <w:sz w:val="20"/>
        </w:rPr>
        <w:t>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247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5.73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0.92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4.03</w:t>
      </w:r>
    </w:p>
    <w:p>
      <w:pPr>
        <w:pStyle w:val="Normal"/>
        <w:framePr w:w="499" w:x="6398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4.26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12.93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1.383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0.28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312.7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326.35pt;z-index:-34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547.1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560.85pt;z-index:-355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：康俊丰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ORDQK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c3fe25f-0000-0000-0000-000000000000}"/>
  </w:font>
  <w:font w:name="VDTUWP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6ca45d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AAWKE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092333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styles" Target="styles.xml" /><Relationship Id="rId97" Type="http://schemas.openxmlformats.org/officeDocument/2006/relationships/fontTable" Target="fontTable.xml" /><Relationship Id="rId98" Type="http://schemas.openxmlformats.org/officeDocument/2006/relationships/settings" Target="settings.xml" /><Relationship Id="rId99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2497</Words>
  <Characters>5532</Characters>
  <Application>Aspose</Application>
  <DocSecurity>0</DocSecurity>
  <Lines>774</Lines>
  <Paragraphs>774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5935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2019-12-19T17:17:24+08:00</dcterms:created>
  <dcterms:modified xmlns:xsi="http://www.w3.org/2001/XMLSchema-instance" xmlns:dcterms="http://purl.org/dc/terms/" xsi:type="dcterms:W3CDTF">2019-12-19T17:17:24+08:00</dcterms:modified>
</coreProperties>
</file>