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CPOCI+MicrosoftYaHei" w:hAnsi="BCPOCI+MicrosoftYaHei" w:cs="BCPOCI+MicrosoftYaHei"/>
          <w:color w:val="000000"/>
          <w:spacing w:val="0"/>
          <w:sz w:val="18"/>
        </w:rPr>
      </w:pPr>
      <w:r>
        <w:rPr>
          <w:rFonts w:ascii="BCPOCI+MicrosoftYaHei" w:hAnsi="BCPOCI+MicrosoftYaHei" w:cs="BCPOCI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VOIT+MicrosoftYaHei"/>
          <w:color w:val="000000"/>
          <w:spacing w:val="0"/>
          <w:sz w:val="22"/>
        </w:rPr>
      </w:pPr>
      <w:r>
        <w:rPr>
          <w:rFonts w:ascii="BCPOCI+MicrosoftYaHei" w:hAnsi="BCPOCI+MicrosoftYaHei" w:cs="BCPOCI+MicrosoftYaHei"/>
          <w:color w:val="000000"/>
          <w:spacing w:val="0"/>
          <w:sz w:val="22"/>
        </w:rPr>
        <w:t>体检日期</w:t>
      </w:r>
      <w:r>
        <w:rPr>
          <w:rFonts w:ascii="CCVOIT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CPOCI+MicrosoftYaHei" w:hAnsi="BCPOCI+MicrosoftYaHei" w:cs="BCPOCI+MicrosoftYaHei"/>
          <w:color w:val="000000"/>
          <w:spacing w:val="0"/>
          <w:sz w:val="22"/>
        </w:rPr>
      </w:pPr>
      <w:r>
        <w:rPr>
          <w:rFonts w:ascii="BCPOCI+MicrosoftYaHei" w:hAnsi="BCPOCI+MicrosoftYaHei" w:cs="BCPOCI+MicrosoftYaHei"/>
          <w:color w:val="000000"/>
          <w:spacing w:val="0"/>
          <w:sz w:val="22"/>
        </w:rPr>
        <w:t>姓名</w:t>
      </w:r>
      <w:r>
        <w:rPr>
          <w:rFonts w:ascii="CCVOIT+MicrosoftYaHei"/>
          <w:color w:val="000000"/>
          <w:spacing w:val="0"/>
          <w:sz w:val="22"/>
        </w:rPr>
        <w:t xml:space="preserve">:  </w:t>
      </w:r>
      <w:r>
        <w:rPr>
          <w:rFonts w:ascii="BCPOCI+MicrosoftYaHei" w:hAnsi="BCPOCI+MicrosoftYaHei" w:cs="BCPOCI+MicrosoftYaHei"/>
          <w:color w:val="000000"/>
          <w:spacing w:val="0"/>
          <w:sz w:val="22"/>
        </w:rPr>
        <w:t>赵骜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VOIT+MicrosoftYaHei"/>
          <w:color w:val="000000"/>
          <w:spacing w:val="0"/>
          <w:sz w:val="22"/>
        </w:rPr>
      </w:pPr>
      <w:r>
        <w:rPr>
          <w:rFonts w:ascii="BCPOCI+MicrosoftYaHei" w:hAnsi="BCPOCI+MicrosoftYaHei" w:cs="BCPOCI+MicrosoftYaHei"/>
          <w:color w:val="000000"/>
          <w:spacing w:val="0"/>
          <w:sz w:val="22"/>
        </w:rPr>
        <w:t>卡号</w:t>
      </w:r>
      <w:r>
        <w:rPr>
          <w:rFonts w:ascii="CCVOIT+MicrosoftYaHei"/>
          <w:color w:val="000000"/>
          <w:spacing w:val="0"/>
          <w:sz w:val="22"/>
        </w:rPr>
        <w:t xml:space="preserve">:  </w:t>
      </w:r>
      <w:r>
        <w:rPr>
          <w:rFonts w:ascii="CCVOIT+MicrosoftYaHei"/>
          <w:color w:val="000000"/>
          <w:spacing w:val="0"/>
          <w:sz w:val="22"/>
        </w:rPr>
        <w:t>16013945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CPOCI+MicrosoftYaHei" w:hAnsi="BCPOCI+MicrosoftYaHei" w:cs="BCPOCI+MicrosoftYaHei"/>
          <w:color w:val="000000"/>
          <w:spacing w:val="0"/>
          <w:sz w:val="22"/>
        </w:rPr>
      </w:pPr>
      <w:r>
        <w:rPr>
          <w:rFonts w:ascii="BCPOCI+MicrosoftYaHei" w:hAnsi="BCPOCI+MicrosoftYaHei" w:cs="BCPOCI+MicrosoftYaHei"/>
          <w:color w:val="000000"/>
          <w:spacing w:val="0"/>
          <w:sz w:val="22"/>
        </w:rPr>
        <w:t>性别</w:t>
      </w:r>
      <w:r>
        <w:rPr>
          <w:rFonts w:ascii="CCVOIT+MicrosoftYaHei"/>
          <w:color w:val="000000"/>
          <w:spacing w:val="0"/>
          <w:sz w:val="22"/>
        </w:rPr>
        <w:t xml:space="preserve">: </w:t>
      </w:r>
      <w:r>
        <w:rPr>
          <w:rFonts w:ascii="BCPOCI+MicrosoftYaHei" w:hAnsi="BCPOCI+MicrosoftYaHei" w:cs="BCPOCI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CPOCI+MicrosoftYaHei" w:hAnsi="BCPOCI+MicrosoftYaHei" w:cs="BCPOCI+MicrosoftYaHei"/>
          <w:color w:val="000000"/>
          <w:spacing w:val="0"/>
          <w:sz w:val="22"/>
        </w:rPr>
      </w:pPr>
      <w:r>
        <w:rPr>
          <w:rFonts w:ascii="BCPOCI+MicrosoftYaHei" w:hAnsi="BCPOCI+MicrosoftYaHei" w:cs="BCPOCI+MicrosoftYaHei"/>
          <w:color w:val="000000"/>
          <w:spacing w:val="0"/>
          <w:sz w:val="22"/>
        </w:rPr>
        <w:t>单位</w:t>
      </w:r>
      <w:r>
        <w:rPr>
          <w:rFonts w:ascii="CCVOIT+MicrosoftYaHei"/>
          <w:color w:val="000000"/>
          <w:spacing w:val="0"/>
          <w:sz w:val="22"/>
        </w:rPr>
        <w:t xml:space="preserve">:  </w:t>
      </w:r>
      <w:r>
        <w:rPr>
          <w:rFonts w:ascii="BCPOCI+MicrosoftYaHei" w:hAnsi="BCPOCI+MicrosoftYaHei" w:cs="BCPOCI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CCVOIT+MicrosoftYaHei"/>
          <w:color w:val="000000"/>
          <w:spacing w:val="0"/>
          <w:sz w:val="22"/>
        </w:rPr>
      </w:pPr>
      <w:r>
        <w:rPr>
          <w:rFonts w:ascii="BCPOCI+MicrosoftYaHei" w:hAnsi="BCPOCI+MicrosoftYaHei" w:cs="BCPOCI+MicrosoftYaHei"/>
          <w:color w:val="000000"/>
          <w:spacing w:val="0"/>
          <w:sz w:val="22"/>
        </w:rPr>
        <w:t>部门</w:t>
      </w:r>
      <w:r>
        <w:rPr>
          <w:rFonts w:ascii="CCVOIT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VOIT+MicrosoftYaHei"/>
          <w:color w:val="000000"/>
          <w:spacing w:val="0"/>
          <w:sz w:val="22"/>
        </w:rPr>
      </w:pPr>
      <w:r>
        <w:rPr>
          <w:rFonts w:ascii="BCPOCI+MicrosoftYaHei" w:hAnsi="BCPOCI+MicrosoftYaHei" w:cs="BCPOCI+MicrosoftYaHei"/>
          <w:color w:val="000000"/>
          <w:spacing w:val="0"/>
          <w:sz w:val="22"/>
        </w:rPr>
        <w:t>联系方式</w:t>
      </w:r>
      <w:r>
        <w:rPr>
          <w:rFonts w:ascii="CCVOIT+MicrosoftYaHei"/>
          <w:color w:val="000000"/>
          <w:spacing w:val="0"/>
          <w:sz w:val="22"/>
        </w:rPr>
        <w:t>:  138****5317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CVOIT+MicrosoftYaHei"/>
          <w:color w:val="000000"/>
          <w:spacing w:val="0"/>
          <w:sz w:val="22"/>
        </w:rPr>
      </w:pPr>
      <w:r>
        <w:rPr>
          <w:rFonts w:ascii="BCPOCI+MicrosoftYaHei" w:hAnsi="BCPOCI+MicrosoftYaHei" w:cs="BCPOCI+MicrosoftYaHei"/>
          <w:color w:val="000000"/>
          <w:spacing w:val="0"/>
          <w:sz w:val="22"/>
        </w:rPr>
        <w:t>身份证号</w:t>
      </w:r>
      <w:r>
        <w:rPr>
          <w:rFonts w:ascii="CCVOIT+MicrosoftYaHei"/>
          <w:color w:val="000000"/>
          <w:spacing w:val="0"/>
          <w:sz w:val="22"/>
        </w:rPr>
        <w:t>: 110106********0018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POCI+MicrosoftYaHei" w:hAnsi="BCPOCI+MicrosoftYaHei" w:cs="BCPOCI+MicrosoftYaHei"/>
          <w:color w:val="000000"/>
          <w:spacing w:val="0"/>
          <w:sz w:val="28"/>
        </w:rPr>
      </w:pPr>
      <w:r>
        <w:rPr>
          <w:rFonts w:ascii="BCPOCI+MicrosoftYaHei" w:hAnsi="BCPOCI+MicrosoftYaHei" w:cs="BCPOCI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POCI+MicrosoftYaHei" w:hAnsi="BCPOCI+MicrosoftYaHei" w:cs="BCPOCI+MicrosoftYaHei"/>
          <w:color w:val="000000"/>
          <w:spacing w:val="0"/>
          <w:sz w:val="28"/>
        </w:rPr>
      </w:pPr>
      <w:r>
        <w:rPr>
          <w:rFonts w:ascii="BCPOCI+MicrosoftYaHei" w:hAnsi="BCPOCI+MicrosoftYaHei" w:cs="BCPOCI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尊敬的赵骜先生：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OMRGU+Wingdings-Regular" w:hAnsi="BOMRGU+Wingdings-Regular" w:cs="BOMRGU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BOMRGU+Wingdings-Regular" w:hAnsi="BOMRGU+Wingdings-Regular" w:cs="BOMRGU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OMRGU+Wingdings-Regular" w:hAnsi="BOMRGU+Wingdings-Regular" w:cs="BOMRGU+Wingdings-Regular"/>
          <w:color w:val="000000"/>
          <w:spacing w:val="0"/>
          <w:sz w:val="23"/>
        </w:rPr>
      </w:pPr>
      <w:r>
        <w:rPr>
          <w:rFonts w:ascii="BOMRGU+Wingdings-Regular" w:hAnsi="BOMRGU+Wingdings-Regular" w:cs="BOMRGU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赵骜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48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胶素</w:t>
      </w:r>
      <w:r>
        <w:rPr>
          <w:rFonts w:ascii="FangSong"/>
          <w:color w:val="000000"/>
          <w:spacing w:val="0"/>
          <w:sz w:val="22"/>
        </w:rPr>
        <w:t>CYFRA21-1</w:t>
      </w:r>
      <w:r>
        <w:rPr>
          <w:rFonts w:ascii="FangSong" w:hAnsi="FangSong" w:cs="FangSong"/>
          <w:color w:val="000000"/>
          <w:spacing w:val="0"/>
          <w:sz w:val="22"/>
        </w:rPr>
        <w:t>测定增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(4.55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鳞状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皮细胞癌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可升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待此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</w:p>
    <w:p>
      <w:pPr>
        <w:pStyle w:val="Normal"/>
        <w:framePr w:w="772" w:x="1440" w:y="29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动过缓多见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力劳动者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运动员可低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动过缓或</w:t>
      </w:r>
      <w:r>
        <w:rPr>
          <w:rFonts w:ascii="FangSong" w:hAnsi="FangSong" w:cs="FangSong"/>
          <w:color w:val="000000"/>
          <w:spacing w:val="0"/>
          <w:sz w:val="22"/>
        </w:rPr>
        <w:t>伴胸闷气短等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952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胆原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5416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便秘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883" w:x="1190" w:y="541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6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61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825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70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强回声斑点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8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8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8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989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5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581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15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44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17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0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95.3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23.31,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0.77,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124mmHg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609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21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11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122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5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28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28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DOB:24.60</w:t>
      </w:r>
    </w:p>
    <w:p>
      <w:pPr>
        <w:pStyle w:val="Normal"/>
        <w:framePr w:w="2198" w:x="914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04.65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42.2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69.45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腺可见</w:t>
      </w:r>
      <w:r>
        <w:rPr>
          <w:rFonts w:ascii="FangSong" w:hAnsi="FangSong" w:cs="FangSong"/>
          <w:color w:val="000000"/>
          <w:spacing w:val="0"/>
          <w:sz w:val="22"/>
        </w:rPr>
        <w:t>强回声灶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31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14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3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14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8.7pt;margin-top:146pt;z-index:-227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329.3pt;margin-top:146pt;z-index:-231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66.4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89.7pt;margin-top:146pt;z-index:-251;width:227.1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24pt;margin-top:54.15pt;z-index:-26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3.65pt;margin-top:28.95pt;z-index:-26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29.3pt;margin-top:102.05pt;z-index:-27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5.5pt;margin-top:525.05pt;z-index:-27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：赵骜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48.3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43.1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152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1.028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5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500" w:x="5150" w:y="1326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5.7pt;margin-top:29.95pt;z-index:-2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37.3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2.7pt;margin-top:160.75pt;z-index:-2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4.3pt;margin-top:174.45pt;z-index:-29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76.6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16013945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：赵骜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6.33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289.1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4.55</w:t>
      </w:r>
    </w:p>
    <w:p>
      <w:pPr>
        <w:pStyle w:val="Normal"/>
        <w:framePr w:w="499" w:x="6398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4.25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18.88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2.48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9.27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0.711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3.92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0.324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0.46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0.94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1.21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6" style="position:absolute;margin-left:45.7pt;margin-top:29.95pt;z-index:-3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37.35pt;z-index:-311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282.3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296pt;z-index:-31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2.7pt;margin-top:516.8pt;z-index:-3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4.3pt;margin-top:530.5pt;z-index:-327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76.6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CPOCI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6a66167-0000-0000-0000-000000000000}"/>
  </w:font>
  <w:font w:name="CCVOIT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5f4597d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OMRGU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f6113c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styles" Target="styles.xml" /><Relationship Id="rId86" Type="http://schemas.openxmlformats.org/officeDocument/2006/relationships/fontTable" Target="fontTable.xml" /><Relationship Id="rId87" Type="http://schemas.openxmlformats.org/officeDocument/2006/relationships/settings" Target="settings.xml" /><Relationship Id="rId88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2214</Words>
  <Characters>4883</Characters>
  <Application>Aspose</Application>
  <DocSecurity>0</DocSecurity>
  <Lines>729</Lines>
  <Paragraphs>729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5249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2019-12-19T17:18:18+08:00</dcterms:created>
  <dcterms:modified xmlns:xsi="http://www.w3.org/2001/XMLSchema-instance" xmlns:dcterms="http://purl.org/dc/terms/" xsi:type="dcterms:W3CDTF">2019-12-19T17:18:18+08:00</dcterms:modified>
</coreProperties>
</file>