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JJFALN+MicrosoftYaHei" w:hAnsi="JJFALN+MicrosoftYaHei" w:cs="JJFALN+MicrosoftYaHei"/>
          <w:color w:val="000000"/>
          <w:spacing w:val="0"/>
          <w:sz w:val="18"/>
        </w:rPr>
      </w:pPr>
      <w:r>
        <w:rPr>
          <w:rFonts w:ascii="JJFALN+MicrosoftYaHei" w:hAnsi="JJFALN+MicrosoftYaHei" w:cs="JJFALN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TTQE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体检日期</w:t>
      </w:r>
      <w:r>
        <w:rPr>
          <w:rFonts w:ascii="BUTTQE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JJFALN+MicrosoftYaHei" w:hAnsi="JJFALN+MicrosoftYaHei" w:cs="JJFALN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姓名</w:t>
      </w:r>
      <w:r>
        <w:rPr>
          <w:rFonts w:ascii="BUTTQE+MicrosoftYaHei"/>
          <w:color w:val="000000"/>
          <w:spacing w:val="0"/>
          <w:sz w:val="22"/>
        </w:rPr>
        <w:t xml:space="preserve">:  </w:t>
      </w:r>
      <w:r>
        <w:rPr>
          <w:rFonts w:ascii="JJFALN+MicrosoftYaHei" w:hAnsi="JJFALN+MicrosoftYaHei" w:cs="JJFALN+MicrosoftYaHei"/>
          <w:color w:val="000000"/>
          <w:spacing w:val="0"/>
          <w:sz w:val="22"/>
        </w:rPr>
        <w:t>邢振宇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TTQE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卡号</w:t>
      </w:r>
      <w:r>
        <w:rPr>
          <w:rFonts w:ascii="BUTTQE+MicrosoftYaHei"/>
          <w:color w:val="000000"/>
          <w:spacing w:val="0"/>
          <w:sz w:val="22"/>
        </w:rPr>
        <w:t xml:space="preserve">:  </w:t>
      </w:r>
      <w:r>
        <w:rPr>
          <w:rFonts w:ascii="BUTTQE+MicrosoftYaHei"/>
          <w:color w:val="000000"/>
          <w:spacing w:val="0"/>
          <w:sz w:val="22"/>
        </w:rPr>
        <w:t>16013943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JFALN+MicrosoftYaHei" w:hAnsi="JJFALN+MicrosoftYaHei" w:cs="JJFALN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性别</w:t>
      </w:r>
      <w:r>
        <w:rPr>
          <w:rFonts w:ascii="BUTTQE+MicrosoftYaHei"/>
          <w:color w:val="000000"/>
          <w:spacing w:val="0"/>
          <w:sz w:val="22"/>
        </w:rPr>
        <w:t xml:space="preserve">: </w:t>
      </w:r>
      <w:r>
        <w:rPr>
          <w:rFonts w:ascii="JJFALN+MicrosoftYaHei" w:hAnsi="JJFALN+MicrosoftYaHei" w:cs="JJFALN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JFALN+MicrosoftYaHei" w:hAnsi="JJFALN+MicrosoftYaHei" w:cs="JJFALN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单位</w:t>
      </w:r>
      <w:r>
        <w:rPr>
          <w:rFonts w:ascii="BUTTQE+MicrosoftYaHei"/>
          <w:color w:val="000000"/>
          <w:spacing w:val="0"/>
          <w:sz w:val="22"/>
        </w:rPr>
        <w:t xml:space="preserve">:  </w:t>
      </w:r>
      <w:r>
        <w:rPr>
          <w:rFonts w:ascii="JJFALN+MicrosoftYaHei" w:hAnsi="JJFALN+MicrosoftYaHei" w:cs="JJFALN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BUTTQE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部门</w:t>
      </w:r>
      <w:r>
        <w:rPr>
          <w:rFonts w:ascii="BUTTQ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TTQE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联系方式</w:t>
      </w:r>
      <w:r>
        <w:rPr>
          <w:rFonts w:ascii="BUTTQE+MicrosoftYaHei"/>
          <w:color w:val="000000"/>
          <w:spacing w:val="0"/>
          <w:sz w:val="22"/>
        </w:rPr>
        <w:t>:  186****9097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TTQE+MicrosoftYaHei"/>
          <w:color w:val="000000"/>
          <w:spacing w:val="0"/>
          <w:sz w:val="22"/>
        </w:rPr>
      </w:pPr>
      <w:r>
        <w:rPr>
          <w:rFonts w:ascii="JJFALN+MicrosoftYaHei" w:hAnsi="JJFALN+MicrosoftYaHei" w:cs="JJFALN+MicrosoftYaHei"/>
          <w:color w:val="000000"/>
          <w:spacing w:val="0"/>
          <w:sz w:val="22"/>
        </w:rPr>
        <w:t>身份证号</w:t>
      </w:r>
      <w:r>
        <w:rPr>
          <w:rFonts w:ascii="BUTTQE+MicrosoftYaHei"/>
          <w:color w:val="000000"/>
          <w:spacing w:val="0"/>
          <w:sz w:val="22"/>
        </w:rPr>
        <w:t>: 110116********2115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JFALN+MicrosoftYaHei" w:hAnsi="JJFALN+MicrosoftYaHei" w:cs="JJFALN+MicrosoftYaHei"/>
          <w:color w:val="000000"/>
          <w:spacing w:val="0"/>
          <w:sz w:val="28"/>
        </w:rPr>
      </w:pPr>
      <w:r>
        <w:rPr>
          <w:rFonts w:ascii="JJFALN+MicrosoftYaHei" w:hAnsi="JJFALN+MicrosoftYaHei" w:cs="JJFALN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JFALN+MicrosoftYaHei" w:hAnsi="JJFALN+MicrosoftYaHei" w:cs="JJFALN+MicrosoftYaHei"/>
          <w:color w:val="000000"/>
          <w:spacing w:val="0"/>
          <w:sz w:val="28"/>
        </w:rPr>
      </w:pPr>
      <w:r>
        <w:rPr>
          <w:rFonts w:ascii="JJFALN+MicrosoftYaHei" w:hAnsi="JJFALN+MicrosoftYaHei" w:cs="JJFALN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尊敬的邢振宇先生：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344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KGQAP+Wingdings-Regular" w:hAnsi="GKGQAP+Wingdings-Regular" w:cs="GKGQAP+Wingdings-Regular"/>
          <w:color w:val="000000"/>
          <w:spacing w:val="0"/>
          <w:sz w:val="23"/>
        </w:rPr>
      </w:pPr>
      <w:r>
        <w:rPr>
          <w:rFonts w:ascii="GKGQAP+Wingdings-Regular" w:hAnsi="GKGQAP+Wingdings-Regular" w:cs="GKGQAP+Wingdings-Regular"/>
          <w:color w:val="000000"/>
          <w:spacing w:val="0"/>
          <w:sz w:val="23"/>
        </w:rPr>
        <w:t>ü</w:t>
      </w:r>
    </w:p>
    <w:p>
      <w:pPr>
        <w:pStyle w:val="Normal"/>
        <w:framePr w:w="449" w:x="429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KGQAP+Wingdings-Regular" w:hAnsi="GKGQAP+Wingdings-Regular" w:cs="GKGQAP+Wingdings-Regular"/>
          <w:color w:val="000000"/>
          <w:spacing w:val="0"/>
          <w:sz w:val="23"/>
        </w:rPr>
      </w:pPr>
      <w:r>
        <w:rPr>
          <w:rFonts w:ascii="GKGQAP+Wingdings-Regular" w:hAnsi="GKGQAP+Wingdings-Regular" w:cs="GKGQAP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KGQAP+Wingdings-Regular" w:hAnsi="GKGQAP+Wingdings-Regular" w:cs="GKGQAP+Wingdings-Regular"/>
          <w:color w:val="000000"/>
          <w:spacing w:val="0"/>
          <w:sz w:val="23"/>
        </w:rPr>
      </w:pPr>
      <w:r>
        <w:rPr>
          <w:rFonts w:ascii="GKGQAP+Wingdings-Regular" w:hAnsi="GKGQAP+Wingdings-Regular" w:cs="GKGQAP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邢振宇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952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如剧</w:t>
      </w:r>
      <w:r>
        <w:rPr>
          <w:rFonts w:ascii="FangSong" w:hAnsi="FangSong" w:cs="FangSong"/>
          <w:color w:val="000000"/>
          <w:spacing w:val="0"/>
          <w:sz w:val="22"/>
        </w:rPr>
        <w:t>烈运动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紧张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纠正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情况</w:t>
      </w:r>
      <w:r>
        <w:rPr>
          <w:rFonts w:ascii="FangSong" w:hAnsi="FangSong" w:cs="FangSong"/>
          <w:color w:val="000000"/>
          <w:spacing w:val="0"/>
          <w:sz w:val="22"/>
        </w:rPr>
        <w:t>后复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可恢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正</w:t>
      </w:r>
    </w:p>
    <w:p>
      <w:pPr>
        <w:pStyle w:val="Normal"/>
        <w:framePr w:w="10408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常。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病理性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毒副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免疫</w:t>
      </w:r>
      <w:r>
        <w:rPr>
          <w:rFonts w:ascii="FangSong" w:hAnsi="FangSong" w:cs="FangSong"/>
          <w:color w:val="000000"/>
          <w:spacing w:val="0"/>
          <w:sz w:val="22"/>
        </w:rPr>
        <w:t>性疾病、</w:t>
      </w:r>
      <w:r>
        <w:rPr>
          <w:rFonts w:ascii="FangSong" w:hAnsi="FangSong" w:cs="FangSong"/>
          <w:color w:val="000000"/>
          <w:spacing w:val="0"/>
          <w:sz w:val="22"/>
        </w:rPr>
        <w:t>妊娠</w:t>
      </w:r>
    </w:p>
    <w:p>
      <w:pPr>
        <w:pStyle w:val="Normal"/>
        <w:framePr w:w="10408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。建议及时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为阳性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应到医院专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079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数增多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7" w:x="1440" w:y="541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检查结果：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/>
          <w:color w:val="000000"/>
          <w:spacing w:val="0"/>
          <w:sz w:val="22"/>
        </w:rPr>
        <w:t>(10.49x10^9/L)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/>
          <w:color w:val="000000"/>
          <w:spacing w:val="0"/>
          <w:sz w:val="22"/>
        </w:rPr>
        <w:t>(19.2%)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(0.75</w:t>
      </w:r>
    </w:p>
    <w:p>
      <w:pPr>
        <w:pStyle w:val="Normal"/>
        <w:framePr w:w="10407" w:x="1440" w:y="541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、中性</w:t>
      </w:r>
      <w:r>
        <w:rPr>
          <w:rFonts w:ascii="FangSong" w:hAnsi="FangSong" w:cs="FangSong"/>
          <w:color w:val="000000"/>
          <w:spacing w:val="0"/>
          <w:sz w:val="22"/>
        </w:rPr>
        <w:t>粒细胞绝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(7.45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</w:p>
    <w:p>
      <w:pPr>
        <w:pStyle w:val="Normal"/>
        <w:framePr w:w="4314" w:x="1440" w:y="599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5618" w:x="1190" w:y="63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碘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状腺原</w:t>
      </w:r>
      <w:r>
        <w:rPr>
          <w:rFonts w:ascii="FangSong" w:hAnsi="FangSong" w:cs="FangSong"/>
          <w:color w:val="000000"/>
          <w:spacing w:val="0"/>
          <w:sz w:val="22"/>
        </w:rPr>
        <w:t>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(7.5 pmol/L)[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8" w:x="1190" w:y="63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655" w:x="1579" w:y="70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7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4" w:x="1440" w:y="78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劳动者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运动员可低至</w:t>
      </w:r>
      <w:r>
        <w:rPr>
          <w:rFonts w:ascii="FangSong"/>
          <w:color w:val="000000"/>
          <w:spacing w:val="0"/>
          <w:sz w:val="22"/>
        </w:rPr>
        <w:t>40</w:t>
      </w:r>
    </w:p>
    <w:p>
      <w:pPr>
        <w:pStyle w:val="Normal"/>
        <w:framePr w:w="10534" w:x="1440" w:y="784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缓或伴胸闷</w:t>
      </w:r>
    </w:p>
    <w:p>
      <w:pPr>
        <w:pStyle w:val="Normal"/>
        <w:framePr w:w="10534" w:x="1440" w:y="784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4346" w:x="1190" w:y="8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细胞增多</w:t>
      </w:r>
      <w:r>
        <w:rPr>
          <w:rFonts w:ascii="FangSong"/>
          <w:color w:val="000000"/>
          <w:spacing w:val="0"/>
          <w:sz w:val="22"/>
        </w:rPr>
        <w:t>(2-4 /HPF)[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1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液被</w:t>
      </w:r>
      <w:r>
        <w:rPr>
          <w:rFonts w:ascii="FangSong" w:hAnsi="FangSong" w:cs="FangSong"/>
          <w:color w:val="000000"/>
          <w:spacing w:val="0"/>
          <w:sz w:val="22"/>
        </w:rPr>
        <w:t>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</w:p>
    <w:p>
      <w:pPr>
        <w:pStyle w:val="Normal"/>
        <w:framePr w:w="10411" w:x="1440" w:y="91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；若伴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91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检查诊治。</w:t>
      </w:r>
    </w:p>
    <w:p>
      <w:pPr>
        <w:pStyle w:val="Normal"/>
        <w:framePr w:w="2571" w:x="1190" w:y="100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583" w:x="1440" w:y="1039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115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51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49.4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49.4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178cm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20.58,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7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0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6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0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4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8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6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61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617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617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6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6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6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9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3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7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11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8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2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5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55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5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0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40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0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40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09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6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88.4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59.1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96.65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38.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75.9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</w:t>
      </w:r>
      <w:r>
        <w:rPr>
          <w:rFonts w:ascii="FangSong" w:hAnsi="FangSong" w:cs="FangSong"/>
          <w:color w:val="000000"/>
          <w:spacing w:val="0"/>
          <w:sz w:val="20"/>
        </w:rPr>
        <w:t>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625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26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62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68.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5.9pt;z-index:-211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47.7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85.3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24.9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62.5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700.9pt;z-index:-23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28mm,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89.7pt;margin-top:146pt;z-index:-271;width:222.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24pt;margin-top:54.15pt;z-index:-28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3.65pt;margin-top:28.95pt;z-index:-28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9.3pt;margin-top:102.05pt;z-index:-29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5.5pt;margin-top:525.05pt;z-index:-29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：邢振宇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10.49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19.2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7.45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5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2-4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5.7pt;margin-top:29.95pt;z-index:-3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37.35pt;z-index:-30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2.7pt;margin-top:160.75pt;z-index:-3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4.3pt;margin-top:174.45pt;z-index:-31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76.6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：邢振宇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321.7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62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</w:t>
      </w:r>
    </w:p>
    <w:p>
      <w:pPr>
        <w:pStyle w:val="Normal"/>
        <w:framePr w:w="499" w:x="6398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21.59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400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0.303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1.76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45.7pt;margin-top:29.95pt;z-index:-3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137.35pt;z-index:-33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312.7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326.35pt;z-index:-33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547.15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560.85pt;z-index:-34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：邢振宇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776.6pt;z-index:-3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JFALN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06b7672-0000-0000-0000-000000000000}"/>
  </w:font>
  <w:font w:name="BUTTQ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8d5213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KGQAP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bb30f7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styles" Target="styles.xml" /><Relationship Id="rId95" Type="http://schemas.openxmlformats.org/officeDocument/2006/relationships/fontTable" Target="fontTable.xml" /><Relationship Id="rId96" Type="http://schemas.openxmlformats.org/officeDocument/2006/relationships/settings" Target="settings.xml" /><Relationship Id="rId9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2469</Words>
  <Characters>5442</Characters>
  <Application>Aspose</Application>
  <DocSecurity>0</DocSecurity>
  <Lines>766</Lines>
  <Paragraphs>766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5838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2019-12-19T17:19:10+08:00</dcterms:created>
  <dcterms:modified xmlns:xsi="http://www.w3.org/2001/XMLSchema-instance" xmlns:dcterms="http://purl.org/dc/terms/" xsi:type="dcterms:W3CDTF">2019-12-19T17:19:10+08:00</dcterms:modified>
</coreProperties>
</file>