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VSCEPQ+MicrosoftYaHei" w:hAnsi="VSCEPQ+MicrosoftYaHei" w:cs="VSCEPQ+MicrosoftYaHei"/>
          <w:color w:val="000000"/>
          <w:spacing w:val="0"/>
          <w:sz w:val="18"/>
        </w:rPr>
      </w:pPr>
      <w:r>
        <w:rPr>
          <w:rFonts w:ascii="VSCEPQ+MicrosoftYaHei" w:hAnsi="VSCEPQ+MicrosoftYaHei" w:cs="VSCEPQ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EGWJT+MicrosoftYaHei"/>
          <w:color w:val="000000"/>
          <w:spacing w:val="0"/>
          <w:sz w:val="22"/>
        </w:rPr>
      </w:pPr>
      <w:r>
        <w:rPr>
          <w:rFonts w:ascii="VSCEPQ+MicrosoftYaHei" w:hAnsi="VSCEPQ+MicrosoftYaHei" w:cs="VSCEPQ+MicrosoftYaHei"/>
          <w:color w:val="000000"/>
          <w:spacing w:val="0"/>
          <w:sz w:val="22"/>
        </w:rPr>
        <w:t>体检日期</w:t>
      </w:r>
      <w:r>
        <w:rPr>
          <w:rFonts w:ascii="DEGWJT+MicrosoftYaHei"/>
          <w:color w:val="000000"/>
          <w:spacing w:val="0"/>
          <w:sz w:val="22"/>
        </w:rPr>
        <w:t>:  2018-06-13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VSCEPQ+MicrosoftYaHei" w:hAnsi="VSCEPQ+MicrosoftYaHei" w:cs="VSCEPQ+MicrosoftYaHei"/>
          <w:color w:val="000000"/>
          <w:spacing w:val="0"/>
          <w:sz w:val="22"/>
        </w:rPr>
      </w:pPr>
      <w:r>
        <w:rPr>
          <w:rFonts w:ascii="VSCEPQ+MicrosoftYaHei" w:hAnsi="VSCEPQ+MicrosoftYaHei" w:cs="VSCEPQ+MicrosoftYaHei"/>
          <w:color w:val="000000"/>
          <w:spacing w:val="0"/>
          <w:sz w:val="22"/>
        </w:rPr>
        <w:t>姓名</w:t>
      </w:r>
      <w:r>
        <w:rPr>
          <w:rFonts w:ascii="DEGWJT+MicrosoftYaHei"/>
          <w:color w:val="000000"/>
          <w:spacing w:val="0"/>
          <w:sz w:val="22"/>
        </w:rPr>
        <w:t xml:space="preserve">:  </w:t>
      </w:r>
      <w:r>
        <w:rPr>
          <w:rFonts w:ascii="VSCEPQ+MicrosoftYaHei" w:hAnsi="VSCEPQ+MicrosoftYaHei" w:cs="VSCEPQ+MicrosoftYaHei"/>
          <w:color w:val="000000"/>
          <w:spacing w:val="0"/>
          <w:sz w:val="22"/>
        </w:rPr>
        <w:t>袁晓光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EGWJT+MicrosoftYaHei"/>
          <w:color w:val="000000"/>
          <w:spacing w:val="0"/>
          <w:sz w:val="22"/>
        </w:rPr>
      </w:pPr>
      <w:r>
        <w:rPr>
          <w:rFonts w:ascii="VSCEPQ+MicrosoftYaHei" w:hAnsi="VSCEPQ+MicrosoftYaHei" w:cs="VSCEPQ+MicrosoftYaHei"/>
          <w:color w:val="000000"/>
          <w:spacing w:val="0"/>
          <w:sz w:val="22"/>
        </w:rPr>
        <w:t>卡号</w:t>
      </w:r>
      <w:r>
        <w:rPr>
          <w:rFonts w:ascii="DEGWJT+MicrosoftYaHei"/>
          <w:color w:val="000000"/>
          <w:spacing w:val="0"/>
          <w:sz w:val="22"/>
        </w:rPr>
        <w:t xml:space="preserve">:  </w:t>
      </w:r>
      <w:r>
        <w:rPr>
          <w:rFonts w:ascii="DEGWJT+MicrosoftYaHei"/>
          <w:color w:val="000000"/>
          <w:spacing w:val="0"/>
          <w:sz w:val="22"/>
        </w:rPr>
        <w:t>16014107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SCEPQ+MicrosoftYaHei" w:hAnsi="VSCEPQ+MicrosoftYaHei" w:cs="VSCEPQ+MicrosoftYaHei"/>
          <w:color w:val="000000"/>
          <w:spacing w:val="0"/>
          <w:sz w:val="22"/>
        </w:rPr>
      </w:pPr>
      <w:r>
        <w:rPr>
          <w:rFonts w:ascii="VSCEPQ+MicrosoftYaHei" w:hAnsi="VSCEPQ+MicrosoftYaHei" w:cs="VSCEPQ+MicrosoftYaHei"/>
          <w:color w:val="000000"/>
          <w:spacing w:val="0"/>
          <w:sz w:val="22"/>
        </w:rPr>
        <w:t>性别</w:t>
      </w:r>
      <w:r>
        <w:rPr>
          <w:rFonts w:ascii="DEGWJT+MicrosoftYaHei"/>
          <w:color w:val="000000"/>
          <w:spacing w:val="0"/>
          <w:sz w:val="22"/>
        </w:rPr>
        <w:t xml:space="preserve">: </w:t>
      </w:r>
      <w:r>
        <w:rPr>
          <w:rFonts w:ascii="VSCEPQ+MicrosoftYaHei" w:hAnsi="VSCEPQ+MicrosoftYaHei" w:cs="VSCEPQ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SCEPQ+MicrosoftYaHei" w:hAnsi="VSCEPQ+MicrosoftYaHei" w:cs="VSCEPQ+MicrosoftYaHei"/>
          <w:color w:val="000000"/>
          <w:spacing w:val="0"/>
          <w:sz w:val="22"/>
        </w:rPr>
      </w:pPr>
      <w:r>
        <w:rPr>
          <w:rFonts w:ascii="VSCEPQ+MicrosoftYaHei" w:hAnsi="VSCEPQ+MicrosoftYaHei" w:cs="VSCEPQ+MicrosoftYaHei"/>
          <w:color w:val="000000"/>
          <w:spacing w:val="0"/>
          <w:sz w:val="22"/>
        </w:rPr>
        <w:t>单位</w:t>
      </w:r>
      <w:r>
        <w:rPr>
          <w:rFonts w:ascii="DEGWJT+MicrosoftYaHei"/>
          <w:color w:val="000000"/>
          <w:spacing w:val="0"/>
          <w:sz w:val="22"/>
        </w:rPr>
        <w:t xml:space="preserve">:  </w:t>
      </w:r>
      <w:r>
        <w:rPr>
          <w:rFonts w:ascii="VSCEPQ+MicrosoftYaHei" w:hAnsi="VSCEPQ+MicrosoftYaHei" w:cs="VSCEPQ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DEGWJT+MicrosoftYaHei"/>
          <w:color w:val="000000"/>
          <w:spacing w:val="0"/>
          <w:sz w:val="22"/>
        </w:rPr>
      </w:pPr>
      <w:r>
        <w:rPr>
          <w:rFonts w:ascii="VSCEPQ+MicrosoftYaHei" w:hAnsi="VSCEPQ+MicrosoftYaHei" w:cs="VSCEPQ+MicrosoftYaHei"/>
          <w:color w:val="000000"/>
          <w:spacing w:val="0"/>
          <w:sz w:val="22"/>
        </w:rPr>
        <w:t>部门</w:t>
      </w:r>
      <w:r>
        <w:rPr>
          <w:rFonts w:ascii="DEGWJT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EGWJT+MicrosoftYaHei"/>
          <w:color w:val="000000"/>
          <w:spacing w:val="0"/>
          <w:sz w:val="22"/>
        </w:rPr>
      </w:pPr>
      <w:r>
        <w:rPr>
          <w:rFonts w:ascii="VSCEPQ+MicrosoftYaHei" w:hAnsi="VSCEPQ+MicrosoftYaHei" w:cs="VSCEPQ+MicrosoftYaHei"/>
          <w:color w:val="000000"/>
          <w:spacing w:val="0"/>
          <w:sz w:val="22"/>
        </w:rPr>
        <w:t>联系方式</w:t>
      </w:r>
      <w:r>
        <w:rPr>
          <w:rFonts w:ascii="DEGWJT+MicrosoftYaHei"/>
          <w:color w:val="000000"/>
          <w:spacing w:val="0"/>
          <w:sz w:val="22"/>
        </w:rPr>
        <w:t>:  136****5682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EGWJT+MicrosoftYaHei"/>
          <w:color w:val="000000"/>
          <w:spacing w:val="0"/>
          <w:sz w:val="22"/>
        </w:rPr>
      </w:pPr>
      <w:r>
        <w:rPr>
          <w:rFonts w:ascii="VSCEPQ+MicrosoftYaHei" w:hAnsi="VSCEPQ+MicrosoftYaHei" w:cs="VSCEPQ+MicrosoftYaHei"/>
          <w:color w:val="000000"/>
          <w:spacing w:val="0"/>
          <w:sz w:val="22"/>
        </w:rPr>
        <w:t>身份证号</w:t>
      </w:r>
      <w:r>
        <w:rPr>
          <w:rFonts w:ascii="DEGWJT+MicrosoftYaHei"/>
          <w:color w:val="000000"/>
          <w:spacing w:val="0"/>
          <w:sz w:val="22"/>
        </w:rPr>
        <w:t>: 110105********1115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VSCEPQ+MicrosoftYaHei" w:hAnsi="VSCEPQ+MicrosoftYaHei" w:cs="VSCEPQ+MicrosoftYaHei"/>
          <w:color w:val="000000"/>
          <w:spacing w:val="0"/>
          <w:sz w:val="28"/>
        </w:rPr>
      </w:pPr>
      <w:r>
        <w:rPr>
          <w:rFonts w:ascii="VSCEPQ+MicrosoftYaHei" w:hAnsi="VSCEPQ+MicrosoftYaHei" w:cs="VSCEPQ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VSCEPQ+MicrosoftYaHei" w:hAnsi="VSCEPQ+MicrosoftYaHei" w:cs="VSCEPQ+MicrosoftYaHei"/>
          <w:color w:val="000000"/>
          <w:spacing w:val="0"/>
          <w:sz w:val="28"/>
        </w:rPr>
      </w:pPr>
      <w:r>
        <w:rPr>
          <w:rFonts w:ascii="VSCEPQ+MicrosoftYaHei" w:hAnsi="VSCEPQ+MicrosoftYaHei" w:cs="VSCEPQ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131806130182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尊敬的袁晓光先生：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06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13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GCFSJS+Wingdings-Regular" w:hAnsi="GCFSJS+Wingdings-Regular" w:cs="GCFSJS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GCFSJS+Wingdings-Regular" w:hAnsi="GCFSJS+Wingdings-Regular" w:cs="GCFSJS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GCFSJS+Wingdings-Regular" w:hAnsi="GCFSJS+Wingdings-Regular" w:cs="GCFSJS+Wingdings-Regular"/>
          <w:color w:val="000000"/>
          <w:spacing w:val="0"/>
          <w:sz w:val="23"/>
        </w:rPr>
      </w:pPr>
      <w:r>
        <w:rPr>
          <w:rFonts w:ascii="GCFSJS+Wingdings-Regular" w:hAnsi="GCFSJS+Wingdings-Regular" w:cs="GCFSJS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袁晓光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131806130182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10441" w:x="1190" w:y="23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(4.11 mmol/L)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(1.95 mmol/L)</w:t>
      </w:r>
      <w:r>
        <w:rPr>
          <w:rFonts w:ascii="FangSong" w:hAnsi="FangSong" w:cs="FangSong"/>
          <w:color w:val="000000"/>
          <w:spacing w:val="0"/>
          <w:sz w:val="22"/>
        </w:rPr>
        <w:t>，总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(5.9</w:t>
      </w:r>
    </w:p>
    <w:p>
      <w:pPr>
        <w:pStyle w:val="Normal"/>
        <w:framePr w:w="10441" w:x="1190" w:y="2361"/>
        <w:widowControl w:val="off"/>
        <w:autoSpaceDE w:val="off"/>
        <w:autoSpaceDN w:val="off"/>
        <w:spacing w:before="0" w:after="0" w:line="286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mmol/L)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白胆固醇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/>
          <w:color w:val="000000"/>
          <w:spacing w:val="0"/>
          <w:sz w:val="22"/>
        </w:rPr>
        <w:t>(1.14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5" w:x="1440" w:y="29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重要的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依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分为：</w:t>
      </w:r>
      <w:r>
        <w:rPr>
          <w:rFonts w:ascii="FangSong"/>
          <w:color w:val="000000"/>
          <w:spacing w:val="0"/>
          <w:sz w:val="22"/>
        </w:rPr>
        <w:t>1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10535" w:x="1440" w:y="299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和高</w:t>
      </w:r>
      <w:r>
        <w:rPr>
          <w:rFonts w:ascii="FangSong" w:hAnsi="FangSong" w:cs="FangSong"/>
          <w:color w:val="000000"/>
          <w:spacing w:val="0"/>
          <w:sz w:val="22"/>
        </w:rPr>
        <w:t>饱</w:t>
      </w:r>
      <w:r>
        <w:rPr>
          <w:rFonts w:ascii="FangSong" w:hAnsi="FangSong" w:cs="FangSong"/>
          <w:color w:val="000000"/>
          <w:spacing w:val="0"/>
          <w:sz w:val="22"/>
        </w:rPr>
        <w:t>和脂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摄入过多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热量摄入过多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遗传基因缺陷等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2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继</w:t>
      </w:r>
    </w:p>
    <w:p>
      <w:pPr>
        <w:pStyle w:val="Normal"/>
        <w:framePr w:w="10535" w:x="1440" w:y="299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血症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综合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胆系</w:t>
      </w:r>
      <w:r>
        <w:rPr>
          <w:rFonts w:ascii="FangSong" w:hAnsi="FangSong" w:cs="FangSong"/>
          <w:color w:val="000000"/>
          <w:spacing w:val="0"/>
          <w:sz w:val="22"/>
        </w:rPr>
        <w:t>统</w:t>
      </w:r>
      <w:r>
        <w:rPr>
          <w:rFonts w:ascii="FangSong" w:hAnsi="FangSong" w:cs="FangSong"/>
          <w:color w:val="000000"/>
          <w:spacing w:val="0"/>
          <w:sz w:val="22"/>
        </w:rPr>
        <w:t>疾病、</w:t>
      </w:r>
      <w:r>
        <w:rPr>
          <w:rFonts w:ascii="FangSong" w:hAnsi="FangSong" w:cs="FangSong"/>
          <w:color w:val="000000"/>
          <w:spacing w:val="0"/>
          <w:sz w:val="22"/>
        </w:rPr>
        <w:t>某些</w:t>
      </w:r>
      <w:r>
        <w:rPr>
          <w:rFonts w:ascii="FangSong" w:hAnsi="FangSong" w:cs="FangSong"/>
          <w:color w:val="000000"/>
          <w:spacing w:val="0"/>
          <w:sz w:val="22"/>
        </w:rPr>
        <w:t>药物等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治</w:t>
      </w:r>
    </w:p>
    <w:p>
      <w:pPr>
        <w:pStyle w:val="Normal"/>
        <w:framePr w:w="10535" w:x="1440" w:y="299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疗和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基</w:t>
      </w:r>
      <w:r>
        <w:rPr>
          <w:rFonts w:ascii="FangSong" w:hAnsi="FangSong" w:cs="FangSong"/>
          <w:color w:val="000000"/>
          <w:spacing w:val="0"/>
          <w:sz w:val="22"/>
        </w:rPr>
        <w:t>础措施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需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42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4856" w:x="1190" w:y="46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数增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 xml:space="preserve">(5.94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10^12/L)[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0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一般需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于慢性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氧</w:t>
      </w:r>
      <w:r>
        <w:rPr>
          <w:rFonts w:ascii="FangSong" w:hAnsi="FangSong" w:cs="FangSong"/>
          <w:color w:val="000000"/>
          <w:spacing w:val="0"/>
          <w:sz w:val="22"/>
        </w:rPr>
        <w:t>性疾病，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：慢性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源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睡眠呼吸暂停低通气</w:t>
      </w:r>
      <w:r>
        <w:rPr>
          <w:rFonts w:ascii="FangSong" w:hAnsi="FangSong" w:cs="FangSong"/>
          <w:color w:val="000000"/>
          <w:spacing w:val="0"/>
          <w:sz w:val="22"/>
        </w:rPr>
        <w:t>综合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</w:p>
    <w:p>
      <w:pPr>
        <w:pStyle w:val="Normal"/>
        <w:framePr w:w="10411" w:x="1440" w:y="500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居民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液浓缩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967" w:x="1190" w:y="56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糖化血</w:t>
      </w:r>
      <w:r>
        <w:rPr>
          <w:rFonts w:ascii="FangSong" w:hAnsi="FangSong" w:cs="FangSong"/>
          <w:color w:val="000000"/>
          <w:spacing w:val="0"/>
          <w:sz w:val="22"/>
        </w:rPr>
        <w:t>红蛋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(6.2 %)[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59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糖化血</w:t>
      </w:r>
      <w:r>
        <w:rPr>
          <w:rFonts w:ascii="FangSong" w:hAnsi="FangSong" w:cs="FangSong"/>
          <w:color w:val="000000"/>
          <w:spacing w:val="0"/>
          <w:sz w:val="22"/>
        </w:rPr>
        <w:t>红蛋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代</w:t>
      </w:r>
      <w:r>
        <w:rPr>
          <w:rFonts w:ascii="FangSong" w:hAnsi="FangSong" w:cs="FangSong"/>
          <w:color w:val="000000"/>
          <w:spacing w:val="0"/>
          <w:sz w:val="22"/>
        </w:rPr>
        <w:t>表近</w:t>
      </w:r>
      <w:r>
        <w:rPr>
          <w:rFonts w:ascii="FangSong"/>
          <w:color w:val="000000"/>
          <w:spacing w:val="0"/>
          <w:sz w:val="22"/>
        </w:rPr>
        <w:t>2-3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月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水平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评价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控制程度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调整</w:t>
      </w:r>
      <w:r>
        <w:rPr>
          <w:rFonts w:ascii="FangSong" w:hAnsi="FangSong" w:cs="FangSong"/>
          <w:color w:val="000000"/>
          <w:spacing w:val="0"/>
          <w:sz w:val="22"/>
        </w:rPr>
        <w:t>临床</w:t>
      </w: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；但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贫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10538" w:x="1440" w:y="598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红蛋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异常时，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反映实际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水平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9424" w:x="1190" w:y="66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丙氨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氨</w:t>
      </w:r>
      <w:r>
        <w:rPr>
          <w:rFonts w:ascii="FangSong" w:hAnsi="FangSong" w:cs="FangSong"/>
          <w:color w:val="000000"/>
          <w:spacing w:val="0"/>
          <w:sz w:val="22"/>
        </w:rPr>
        <w:t>基</w:t>
      </w:r>
      <w:r>
        <w:rPr>
          <w:rFonts w:ascii="FangSong" w:hAnsi="FangSong" w:cs="FangSong"/>
          <w:color w:val="000000"/>
          <w:spacing w:val="0"/>
          <w:sz w:val="22"/>
        </w:rPr>
        <w:t>转移酶轻</w:t>
      </w:r>
      <w:r>
        <w:rPr>
          <w:rFonts w:ascii="FangSong" w:hAnsi="FangSong" w:cs="FangSong"/>
          <w:color w:val="000000"/>
          <w:spacing w:val="0"/>
          <w:sz w:val="22"/>
        </w:rPr>
        <w:t>度增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(53 U/L)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天门冬氨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氨</w:t>
      </w:r>
      <w:r>
        <w:rPr>
          <w:rFonts w:ascii="FangSong" w:hAnsi="FangSong" w:cs="FangSong"/>
          <w:color w:val="000000"/>
          <w:spacing w:val="0"/>
          <w:sz w:val="22"/>
        </w:rPr>
        <w:t>基</w:t>
      </w:r>
      <w:r>
        <w:rPr>
          <w:rFonts w:ascii="FangSong" w:hAnsi="FangSong" w:cs="FangSong"/>
          <w:color w:val="000000"/>
          <w:spacing w:val="0"/>
          <w:sz w:val="22"/>
        </w:rPr>
        <w:t>转移酶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(50 U/L)[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9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于：</w:t>
      </w: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肌肉损伤甚至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热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标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各种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包括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毒</w:t>
      </w:r>
    </w:p>
    <w:p>
      <w:pPr>
        <w:pStyle w:val="Normal"/>
        <w:framePr w:w="10411" w:x="1440" w:y="69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精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损害</w:t>
      </w:r>
      <w:r>
        <w:rPr>
          <w:rFonts w:ascii="FangSong" w:hAnsi="FangSong" w:cs="FangSong"/>
          <w:color w:val="000000"/>
          <w:spacing w:val="0"/>
          <w:sz w:val="22"/>
        </w:rPr>
        <w:t>、重</w:t>
      </w:r>
      <w:r>
        <w:rPr>
          <w:rFonts w:ascii="FangSong" w:hAnsi="FangSong" w:cs="FangSong"/>
          <w:color w:val="000000"/>
          <w:spacing w:val="0"/>
          <w:sz w:val="22"/>
        </w:rPr>
        <w:t>金</w:t>
      </w:r>
      <w:r>
        <w:rPr>
          <w:rFonts w:ascii="FangSong" w:hAnsi="FangSong" w:cs="FangSong"/>
          <w:color w:val="000000"/>
          <w:spacing w:val="0"/>
          <w:sz w:val="22"/>
        </w:rPr>
        <w:t>属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使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度损害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/>
          <w:color w:val="000000"/>
          <w:spacing w:val="0"/>
          <w:sz w:val="22"/>
        </w:rPr>
        <w:t>3.</w:t>
      </w:r>
    </w:p>
    <w:p>
      <w:pPr>
        <w:pStyle w:val="Normal"/>
        <w:framePr w:w="10411" w:x="1440" w:y="69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骼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及其它</w:t>
      </w:r>
      <w:r>
        <w:rPr>
          <w:rFonts w:ascii="FangSong" w:hAnsi="FangSong" w:cs="FangSong"/>
          <w:color w:val="000000"/>
          <w:spacing w:val="0"/>
          <w:sz w:val="22"/>
        </w:rPr>
        <w:t>器官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组织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临床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0411" w:x="1440" w:y="78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于心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骼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组织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损伤</w:t>
      </w:r>
      <w:r>
        <w:rPr>
          <w:rFonts w:ascii="FangSong" w:hAnsi="FangSong" w:cs="FangSong"/>
          <w:color w:val="000000"/>
          <w:spacing w:val="0"/>
          <w:sz w:val="22"/>
        </w:rPr>
        <w:t>及病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剧烈运</w:t>
      </w:r>
      <w:r>
        <w:rPr>
          <w:rFonts w:ascii="FangSong" w:hAnsi="FangSong" w:cs="FangSong"/>
          <w:color w:val="000000"/>
          <w:spacing w:val="0"/>
          <w:sz w:val="22"/>
        </w:rPr>
        <w:t>动等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</w:p>
    <w:p>
      <w:pPr>
        <w:pStyle w:val="Normal"/>
        <w:framePr w:w="10411" w:x="1440" w:y="782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124" w:x="1190" w:y="846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80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继</w:t>
      </w:r>
      <w:r>
        <w:rPr>
          <w:rFonts w:ascii="FangSong" w:hAnsi="FangSong" w:cs="FangSong"/>
          <w:color w:val="000000"/>
          <w:spacing w:val="0"/>
          <w:sz w:val="22"/>
        </w:rPr>
        <w:t>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880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825" w:x="1190" w:y="94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7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周身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视力影响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978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防各种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即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571" w:x="1190" w:y="1041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855" w:x="1190" w:y="10765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855" w:x="1190" w:y="10765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114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</w:t>
      </w:r>
      <w:r>
        <w:rPr>
          <w:rFonts w:ascii="FangSong" w:hAnsi="FangSong" w:cs="FangSong"/>
          <w:color w:val="000000"/>
          <w:spacing w:val="0"/>
          <w:sz w:val="22"/>
        </w:rPr>
        <w:t>础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防</w:t>
      </w:r>
    </w:p>
    <w:p>
      <w:pPr>
        <w:pStyle w:val="Normal"/>
        <w:framePr w:w="10538" w:x="1440" w:y="1145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121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5618" w:x="1190" w:y="125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神</w:t>
      </w:r>
      <w:r>
        <w:rPr>
          <w:rFonts w:ascii="FangSong" w:hAnsi="FangSong" w:cs="FangSong"/>
          <w:color w:val="000000"/>
          <w:spacing w:val="0"/>
          <w:sz w:val="22"/>
        </w:rPr>
        <w:t>经元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烯</w:t>
      </w:r>
      <w:r>
        <w:rPr>
          <w:rFonts w:ascii="FangSong" w:hAnsi="FangSong" w:cs="FangSong"/>
          <w:color w:val="000000"/>
          <w:spacing w:val="0"/>
          <w:sz w:val="22"/>
        </w:rPr>
        <w:t>醇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酶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(18.8 ng/ml)[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28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神</w:t>
      </w:r>
      <w:r>
        <w:rPr>
          <w:rFonts w:ascii="FangSong" w:hAnsi="FangSong" w:cs="FangSong"/>
          <w:color w:val="000000"/>
          <w:spacing w:val="0"/>
          <w:sz w:val="22"/>
        </w:rPr>
        <w:t>经</w:t>
      </w:r>
      <w:r>
        <w:rPr>
          <w:rFonts w:ascii="FangSong" w:hAnsi="FangSong" w:cs="FangSong"/>
          <w:color w:val="000000"/>
          <w:spacing w:val="0"/>
          <w:sz w:val="22"/>
        </w:rPr>
        <w:t>母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嗜铬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胰岛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髓</w:t>
      </w:r>
      <w:r>
        <w:rPr>
          <w:rFonts w:ascii="FangSong" w:hAnsi="FangSong" w:cs="FangSong"/>
          <w:color w:val="000000"/>
          <w:spacing w:val="0"/>
          <w:sz w:val="22"/>
        </w:rPr>
        <w:t>样癌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黑色</w:t>
      </w:r>
      <w:r>
        <w:rPr>
          <w:rFonts w:ascii="FangSong" w:hAnsi="FangSong" w:cs="FangSong"/>
          <w:color w:val="000000"/>
          <w:spacing w:val="0"/>
          <w:sz w:val="22"/>
        </w:rPr>
        <w:t>素瘤等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10411" w:x="1440" w:y="1288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并不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定都罹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确对</w:t>
      </w:r>
      <w:r>
        <w:rPr>
          <w:rFonts w:ascii="FangSong" w:hAnsi="FangSong" w:cs="FangSong"/>
          <w:color w:val="000000"/>
          <w:spacing w:val="0"/>
          <w:sz w:val="22"/>
        </w:rPr>
        <w:t>待此</w:t>
      </w:r>
      <w:r>
        <w:rPr>
          <w:rFonts w:ascii="FangSong" w:hAnsi="FangSong" w:cs="FangSong"/>
          <w:color w:val="000000"/>
          <w:spacing w:val="0"/>
          <w:sz w:val="22"/>
        </w:rPr>
        <w:t>项</w:t>
      </w:r>
      <w:r>
        <w:rPr>
          <w:rFonts w:ascii="FangSong" w:hAnsi="FangSong" w:cs="FangSong"/>
          <w:color w:val="000000"/>
          <w:spacing w:val="0"/>
          <w:sz w:val="22"/>
        </w:rPr>
        <w:t>检查结果，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5364" w:x="1190" w:y="1351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科其它病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右小腿胫腓</w:t>
      </w:r>
      <w:r>
        <w:rPr>
          <w:rFonts w:ascii="FangSong" w:hAnsi="FangSong" w:cs="FangSong"/>
          <w:color w:val="000000"/>
          <w:spacing w:val="0"/>
          <w:sz w:val="22"/>
        </w:rPr>
        <w:t>骨骨</w:t>
      </w:r>
      <w:r>
        <w:rPr>
          <w:rFonts w:ascii="FangSong" w:hAnsi="FangSong" w:cs="FangSong"/>
          <w:color w:val="000000"/>
          <w:spacing w:val="0"/>
          <w:sz w:val="22"/>
        </w:rPr>
        <w:t>折术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364" w:x="1190" w:y="13518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请按诊治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嘱执</w:t>
      </w:r>
      <w:r>
        <w:rPr>
          <w:rFonts w:ascii="FangSong" w:hAnsi="FangSong" w:cs="FangSong"/>
          <w:color w:val="000000"/>
          <w:spacing w:val="0"/>
          <w:sz w:val="22"/>
        </w:rPr>
        <w:t>行。</w:t>
      </w:r>
    </w:p>
    <w:p>
      <w:pPr>
        <w:pStyle w:val="Normal"/>
        <w:framePr w:w="5237" w:x="1190" w:y="1420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1455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各种</w:t>
      </w:r>
      <w:r>
        <w:rPr>
          <w:rFonts w:ascii="FangSong" w:hAnsi="FangSong" w:cs="FangSong"/>
          <w:color w:val="000000"/>
          <w:spacing w:val="0"/>
          <w:sz w:val="22"/>
        </w:rPr>
        <w:t>类型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前列腺炎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临床症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14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07.9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07.9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601.9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601.9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131806130182</w:t>
      </w:r>
    </w:p>
    <w:p>
      <w:pPr>
        <w:pStyle w:val="Normal"/>
        <w:framePr w:w="6631" w:x="1190" w:y="11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部其它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乳</w:t>
      </w:r>
      <w:r>
        <w:rPr>
          <w:rFonts w:ascii="FangSong" w:hAnsi="FangSong" w:cs="FangSong"/>
          <w:color w:val="000000"/>
          <w:spacing w:val="0"/>
          <w:sz w:val="22"/>
        </w:rPr>
        <w:t>头伪影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性大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631" w:x="1190" w:y="1148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</w:p>
    <w:p>
      <w:pPr>
        <w:pStyle w:val="Normal"/>
        <w:framePr w:w="1988" w:x="8155" w:y="261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261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3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:2018-06-19</w:t>
      </w:r>
    </w:p>
    <w:p>
      <w:pPr>
        <w:pStyle w:val="Normal"/>
        <w:framePr w:w="1558" w:x="5292" w:y="4301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9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991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556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85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614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64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643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215.8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131806130182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172.5cm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80Kg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93cm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104cm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26.89,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75mmHg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2" w:x="2239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591" w:x="221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科其它病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右小腿胫腓</w:t>
      </w:r>
      <w:r>
        <w:rPr>
          <w:rFonts w:ascii="FangSong" w:hAnsi="FangSong" w:cs="FangSong"/>
          <w:color w:val="000000"/>
          <w:spacing w:val="0"/>
          <w:sz w:val="20"/>
        </w:rPr>
        <w:t>骨骨</w:t>
      </w:r>
      <w:r>
        <w:rPr>
          <w:rFonts w:ascii="FangSong" w:hAnsi="FangSong" w:cs="FangSong"/>
          <w:color w:val="000000"/>
          <w:spacing w:val="0"/>
          <w:sz w:val="20"/>
        </w:rPr>
        <w:t>折术</w:t>
      </w:r>
    </w:p>
    <w:p>
      <w:pPr>
        <w:pStyle w:val="Normal"/>
        <w:framePr w:w="3591" w:x="2210" w:y="962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后</w:t>
      </w:r>
      <w:r>
        <w:rPr>
          <w:rFonts w:ascii="FangSong"/>
          <w:color w:val="000000"/>
          <w:spacing w:val="0"/>
          <w:sz w:val="20"/>
        </w:rPr>
        <w:t>):</w:t>
      </w:r>
    </w:p>
    <w:p>
      <w:pPr>
        <w:pStyle w:val="Normal"/>
        <w:framePr w:w="3591" w:x="2210" w:y="9620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2018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>2</w:t>
      </w: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右小腿胫腓</w:t>
      </w:r>
      <w:r>
        <w:rPr>
          <w:rFonts w:ascii="FangSong" w:hAnsi="FangSong" w:cs="FangSong"/>
          <w:color w:val="000000"/>
          <w:spacing w:val="0"/>
          <w:sz w:val="20"/>
        </w:rPr>
        <w:t>骨骨</w:t>
      </w:r>
      <w:r>
        <w:rPr>
          <w:rFonts w:ascii="FangSong" w:hAnsi="FangSong" w:cs="FangSong"/>
          <w:color w:val="000000"/>
          <w:spacing w:val="0"/>
          <w:sz w:val="20"/>
        </w:rPr>
        <w:t>折术</w:t>
      </w:r>
      <w:r>
        <w:rPr>
          <w:rFonts w:ascii="FangSong" w:hAnsi="FangSong" w:cs="FangSong"/>
          <w:color w:val="000000"/>
          <w:spacing w:val="0"/>
          <w:sz w:val="20"/>
        </w:rPr>
        <w:t>后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3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3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3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 xml:space="preserve">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7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7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7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786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810" w:x="8050" w:y="107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78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910" w:x="2210" w:y="113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113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547" w:x="8050" w:y="113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18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8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8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8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2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2210" w:y="122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126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3150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315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4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4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34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81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8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3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34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3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34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43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34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8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正视</w:t>
      </w:r>
    </w:p>
    <w:p>
      <w:pPr>
        <w:pStyle w:val="Normal"/>
        <w:framePr w:w="1306" w:x="914" w:y="1487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1.4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9pt;z-index:-175;width:507pt;height:78.6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64.7pt;z-index:-179;width:506.65pt;height:68.3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51.2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88.75pt;z-index:-187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131806130182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</w:t>
      </w:r>
      <w:r>
        <w:rPr>
          <w:rFonts w:ascii="FangSong" w:hAnsi="FangSong" w:cs="FangSong"/>
          <w:color w:val="000000"/>
          <w:spacing w:val="0"/>
          <w:sz w:val="20"/>
        </w:rPr>
        <w:t>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774" w:y="69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胜</w:t>
      </w:r>
    </w:p>
    <w:p>
      <w:pPr>
        <w:pStyle w:val="Normal"/>
        <w:framePr w:w="902" w:x="1450" w:y="74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2112" w:x="9178" w:y="105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敬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周</w:t>
      </w:r>
      <w:r>
        <w:rPr>
          <w:rFonts w:ascii="FangSong" w:hAnsi="FangSong" w:cs="FangSong"/>
          <w:color w:val="000000"/>
          <w:spacing w:val="0"/>
          <w:sz w:val="20"/>
        </w:rPr>
        <w:t>磊</w:t>
      </w:r>
    </w:p>
    <w:p>
      <w:pPr>
        <w:pStyle w:val="Normal"/>
        <w:framePr w:w="1104" w:x="1450" w:y="11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121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</w:t>
      </w:r>
      <w:r>
        <w:rPr>
          <w:rFonts w:ascii="FangSong" w:hAnsi="FangSong" w:cs="FangSong"/>
          <w:color w:val="000000"/>
          <w:spacing w:val="0"/>
          <w:sz w:val="20"/>
        </w:rPr>
        <w:t>莲</w:t>
      </w:r>
    </w:p>
    <w:p>
      <w:pPr>
        <w:pStyle w:val="Normal"/>
        <w:framePr w:w="902" w:x="1450" w:y="12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02" w:x="929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93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600" w:x="914" w:y="132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600" w:x="914" w:y="1328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2210" w:y="132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-0.08,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2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1392.80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702" w:x="2210" w:y="136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0.22</w:t>
      </w:r>
    </w:p>
    <w:p>
      <w:pPr>
        <w:pStyle w:val="Normal"/>
        <w:framePr w:w="1810" w:x="9480" w:y="140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5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148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8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8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8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30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67.45pt;z-index:-207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68.5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05.9pt;z-index:-215;width:507pt;height:123.6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47.75pt;z-index:-21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85.3pt;z-index:-223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24.9pt;z-index:-22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62.5pt;z-index:-231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722.6pt;z-index:-23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760.05pt;z-index:-239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3.9pt;margin-top:770.35pt;z-index:-2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0pt;margin-top:0pt;z-index:-2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131806130182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76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螺杆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507" w:x="9682" w:y="2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0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搏波</w:t>
      </w:r>
      <w:r>
        <w:rPr>
          <w:rFonts w:ascii="FangSong" w:hAnsi="FangSong" w:cs="FangSong"/>
          <w:color w:val="000000"/>
          <w:spacing w:val="0"/>
          <w:sz w:val="20"/>
        </w:rPr>
        <w:t>传</w:t>
      </w:r>
      <w:r>
        <w:rPr>
          <w:rFonts w:ascii="FangSong" w:hAnsi="FangSong" w:cs="FangSong"/>
          <w:color w:val="000000"/>
          <w:spacing w:val="0"/>
          <w:sz w:val="20"/>
        </w:rPr>
        <w:t xml:space="preserve">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传</w:t>
      </w:r>
      <w:r>
        <w:rPr>
          <w:rFonts w:ascii="FangSong" w:hAnsi="FangSong" w:cs="FangSong"/>
          <w:color w:val="000000"/>
          <w:spacing w:val="0"/>
          <w:sz w:val="20"/>
        </w:rPr>
        <w:t>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372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78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3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2" style="position:absolute;margin-left:43.55pt;margin-top:44.1pt;z-index:-251;width:506.3pt;height:4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5.25pt;margin-top:107.6pt;z-index:-255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146.85pt;z-index:-25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184.4pt;z-index:-263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770.35pt;z-index:-2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131806130182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6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81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4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8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89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2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2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5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9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2207" w:x="4150" w:y="9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长径约</w:t>
      </w:r>
      <w:r>
        <w:rPr>
          <w:rFonts w:ascii="FangSong"/>
          <w:color w:val="000000"/>
          <w:spacing w:val="0"/>
          <w:sz w:val="22"/>
        </w:rPr>
        <w:t>40mm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47mm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31mm,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745" w:x="4150" w:y="100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</w:p>
    <w:p>
      <w:pPr>
        <w:pStyle w:val="Normal"/>
        <w:framePr w:w="7745" w:x="4150" w:y="1009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9mmx5mm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左叶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态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边界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555" w:x="4150" w:y="12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部，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侧锁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起始处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发，其中一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11.4mmx2.3mm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混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面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光</w:t>
      </w:r>
      <w:r>
        <w:rPr>
          <w:rFonts w:ascii="FangSong" w:hAnsi="FangSong" w:cs="FangSong"/>
          <w:color w:val="000000"/>
          <w:spacing w:val="0"/>
          <w:sz w:val="22"/>
        </w:rPr>
        <w:t>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43.55pt;margin-top:44.1pt;z-index:-27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125.85pt;z-index:-27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8.7pt;margin-top:146pt;z-index:-283;width:157.55pt;height:88.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209.3pt;margin-top:146pt;z-index:-287;width:157.45pt;height:88.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369.7pt;margin-top:146pt;z-index:-291;width:157.55pt;height:88.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66.4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131806130182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35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5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2018-06-13</w:t>
      </w:r>
    </w:p>
    <w:p>
      <w:pPr>
        <w:pStyle w:val="Normal"/>
        <w:framePr w:w="1981" w:x="7747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43.55pt;margin-top:44.1pt;z-index:-30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766.4pt;z-index:-3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0pt;margin-top:0pt;z-index:-3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131806130182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4935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部其它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4935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膈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5332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部其它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乳</w:t>
      </w:r>
      <w:r>
        <w:rPr>
          <w:rFonts w:ascii="FangSong" w:hAnsi="FangSong" w:cs="FangSong"/>
          <w:color w:val="000000"/>
          <w:spacing w:val="0"/>
          <w:sz w:val="22"/>
        </w:rPr>
        <w:t>头伪影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性大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2018-06-13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8" style="position:absolute;margin-left:43.55pt;margin-top:44.1pt;z-index:-31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125.85pt;z-index:-31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189.7pt;margin-top:146pt;z-index:-323;width:232.55pt;height:223.3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66.4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131806130182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24pt;margin-top:54.15pt;z-index:-33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3.65pt;margin-top:28.95pt;z-index:-33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29.3pt;margin-top:102.05pt;z-index:-34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15.5pt;margin-top:525.05pt;z-index:-34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0pt;margin-top:0pt;z-index:-3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131806130182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29.3pt;margin-top:29.95pt;z-index:-355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32.15pt;margin-top:77.25pt;z-index:-359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131806130182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：袁晓光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2018-06-13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131806130182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2018-06-19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7.15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32.9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6.7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54.8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0.37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0.03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162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0.476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80.1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340</w:t>
      </w:r>
    </w:p>
    <w:p>
      <w:pPr>
        <w:pStyle w:val="Normal"/>
        <w:framePr w:w="499" w:x="6398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7806"/>
        <w:widowControl w:val="off"/>
        <w:autoSpaceDE w:val="off"/>
        <w:autoSpaceDN w:val="off"/>
        <w:spacing w:before="0" w:after="0" w:line="9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27.3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241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10.1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12.2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601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1.022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0" style="position:absolute;margin-left:45.7pt;margin-top:29.95pt;z-index:-36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3.9pt;margin-top:137.35pt;z-index:-36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2.7pt;margin-top:160.75pt;z-index:-37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4.3pt;margin-top:174.45pt;z-index:-37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3.9pt;margin-top:776.6pt;z-index:-3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0pt;margin-top:0pt;z-index:-3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131806130182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：袁晓光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131806130182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2018-06-13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2018-06-19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6.2</w:t>
      </w:r>
    </w:p>
    <w:p>
      <w:pPr>
        <w:pStyle w:val="Normal"/>
        <w:framePr w:w="499" w:x="6398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天门冬氨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53</w:t>
      </w:r>
    </w:p>
    <w:p>
      <w:pPr>
        <w:pStyle w:val="Normal"/>
        <w:framePr w:w="499" w:x="6398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50</w:t>
      </w:r>
    </w:p>
    <w:p>
      <w:pPr>
        <w:pStyle w:val="Normal"/>
        <w:framePr w:w="499" w:x="6398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4.06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71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330.4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8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576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2.34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5.67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17.91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1.12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1004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18.8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1.962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2.06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499" w:x="6398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702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0.25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1.53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6.53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206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6" style="position:absolute;margin-left:45.7pt;margin-top:29.95pt;z-index:-38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3.9pt;margin-top:137.35pt;z-index:-391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2.7pt;margin-top:312.7pt;z-index:-39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4.3pt;margin-top:326.35pt;z-index:-39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2.7pt;margin-top:547.15pt;z-index:-4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4.3pt;margin-top:560.85pt;z-index:-407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3.9pt;margin-top:776.6pt;z-index:-4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0pt;margin-top:0pt;z-index:-4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131806130182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：袁晓光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2018-06-13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131806130182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2018-06-19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577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4" style="position:absolute;margin-left:45.7pt;margin-top:29.95pt;z-index:-41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43.9pt;margin-top:137.35pt;z-index:-423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43.9pt;margin-top:776.6pt;z-index:-4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0pt;margin-top:0pt;z-index:-4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VSCEPQ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9b4fbe93-0000-0000-0000-000000000000}"/>
  </w:font>
  <w:font w:name="DEGWJT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b2f15d38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GCFSJS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d2c9e89e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styles" Target="styles.xml" /><Relationship Id="rId11" Type="http://schemas.openxmlformats.org/officeDocument/2006/relationships/image" Target="media/image11.jpeg" /><Relationship Id="rId110" Type="http://schemas.openxmlformats.org/officeDocument/2006/relationships/fontTable" Target="fontTable.xml" /><Relationship Id="rId111" Type="http://schemas.openxmlformats.org/officeDocument/2006/relationships/settings" Target="settings.xml" /><Relationship Id="rId112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3187</Words>
  <Characters>6573</Characters>
  <Application>Aspose</Application>
  <DocSecurity>0</DocSecurity>
  <Lines>833</Lines>
  <Paragraphs>833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6985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2019-12-19T17:20:32+08:00</dcterms:created>
  <dcterms:modified xmlns:xsi="http://www.w3.org/2001/XMLSchema-instance" xmlns:dcterms="http://purl.org/dc/terms/" xsi:type="dcterms:W3CDTF">2019-12-19T17:20:32+08:00</dcterms:modified>
</coreProperties>
</file>