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MPQJI+MicrosoftYaHei" w:hAnsi="BMPQJI+MicrosoftYaHei" w:cs="BMPQJI+MicrosoftYaHei"/>
          <w:color w:val="000000"/>
          <w:spacing w:val="0"/>
          <w:sz w:val="18"/>
        </w:rPr>
      </w:pPr>
      <w:r>
        <w:rPr>
          <w:rFonts w:ascii="BMPQJI+MicrosoftYaHei" w:hAnsi="BMPQJI+MicrosoftYaHei" w:cs="BMPQJI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MRQGM+MicrosoftYaHei"/>
          <w:color w:val="000000"/>
          <w:spacing w:val="0"/>
          <w:sz w:val="22"/>
        </w:rPr>
      </w:pPr>
      <w:r>
        <w:rPr>
          <w:rFonts w:ascii="BMPQJI+MicrosoftYaHei" w:hAnsi="BMPQJI+MicrosoftYaHei" w:cs="BMPQJI+MicrosoftYaHei"/>
          <w:color w:val="000000"/>
          <w:spacing w:val="0"/>
          <w:sz w:val="22"/>
        </w:rPr>
        <w:t>体检日期</w:t>
      </w:r>
      <w:r>
        <w:rPr>
          <w:rFonts w:ascii="HMRQGM+MicrosoftYaHei"/>
          <w:color w:val="000000"/>
          <w:spacing w:val="0"/>
          <w:sz w:val="22"/>
        </w:rPr>
        <w:t>:  2018-04-27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MPQJI+MicrosoftYaHei" w:hAnsi="BMPQJI+MicrosoftYaHei" w:cs="BMPQJI+MicrosoftYaHei"/>
          <w:color w:val="000000"/>
          <w:spacing w:val="0"/>
          <w:sz w:val="22"/>
        </w:rPr>
      </w:pPr>
      <w:r>
        <w:rPr>
          <w:rFonts w:ascii="BMPQJI+MicrosoftYaHei" w:hAnsi="BMPQJI+MicrosoftYaHei" w:cs="BMPQJI+MicrosoftYaHei"/>
          <w:color w:val="000000"/>
          <w:spacing w:val="0"/>
          <w:sz w:val="22"/>
        </w:rPr>
        <w:t>姓名</w:t>
      </w:r>
      <w:r>
        <w:rPr>
          <w:rFonts w:ascii="HMRQGM+MicrosoftYaHei"/>
          <w:color w:val="000000"/>
          <w:spacing w:val="0"/>
          <w:sz w:val="22"/>
        </w:rPr>
        <w:t xml:space="preserve">:  </w:t>
      </w:r>
      <w:r>
        <w:rPr>
          <w:rFonts w:ascii="BMPQJI+MicrosoftYaHei" w:hAnsi="BMPQJI+MicrosoftYaHei" w:cs="BMPQJI+MicrosoftYaHei"/>
          <w:color w:val="000000"/>
          <w:spacing w:val="0"/>
          <w:sz w:val="22"/>
        </w:rPr>
        <w:t>张建安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MRQGM+MicrosoftYaHei"/>
          <w:color w:val="000000"/>
          <w:spacing w:val="0"/>
          <w:sz w:val="22"/>
        </w:rPr>
      </w:pPr>
      <w:r>
        <w:rPr>
          <w:rFonts w:ascii="BMPQJI+MicrosoftYaHei" w:hAnsi="BMPQJI+MicrosoftYaHei" w:cs="BMPQJI+MicrosoftYaHei"/>
          <w:color w:val="000000"/>
          <w:spacing w:val="0"/>
          <w:sz w:val="22"/>
        </w:rPr>
        <w:t>卡号</w:t>
      </w:r>
      <w:r>
        <w:rPr>
          <w:rFonts w:ascii="HMRQGM+MicrosoftYaHei"/>
          <w:color w:val="000000"/>
          <w:spacing w:val="0"/>
          <w:sz w:val="22"/>
        </w:rPr>
        <w:t xml:space="preserve">:  </w:t>
      </w:r>
      <w:r>
        <w:rPr>
          <w:rFonts w:ascii="HMRQGM+MicrosoftYaHei"/>
          <w:color w:val="000000"/>
          <w:spacing w:val="0"/>
          <w:sz w:val="22"/>
        </w:rPr>
        <w:t>16011378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MPQJI+MicrosoftYaHei" w:hAnsi="BMPQJI+MicrosoftYaHei" w:cs="BMPQJI+MicrosoftYaHei"/>
          <w:color w:val="000000"/>
          <w:spacing w:val="0"/>
          <w:sz w:val="22"/>
        </w:rPr>
      </w:pPr>
      <w:r>
        <w:rPr>
          <w:rFonts w:ascii="BMPQJI+MicrosoftYaHei" w:hAnsi="BMPQJI+MicrosoftYaHei" w:cs="BMPQJI+MicrosoftYaHei"/>
          <w:color w:val="000000"/>
          <w:spacing w:val="0"/>
          <w:sz w:val="22"/>
        </w:rPr>
        <w:t>性别</w:t>
      </w:r>
      <w:r>
        <w:rPr>
          <w:rFonts w:ascii="HMRQGM+MicrosoftYaHei"/>
          <w:color w:val="000000"/>
          <w:spacing w:val="0"/>
          <w:sz w:val="22"/>
        </w:rPr>
        <w:t xml:space="preserve">: </w:t>
      </w:r>
      <w:r>
        <w:rPr>
          <w:rFonts w:ascii="BMPQJI+MicrosoftYaHei" w:hAnsi="BMPQJI+MicrosoftYaHei" w:cs="BMPQJI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MPQJI+MicrosoftYaHei" w:hAnsi="BMPQJI+MicrosoftYaHei" w:cs="BMPQJI+MicrosoftYaHei"/>
          <w:color w:val="000000"/>
          <w:spacing w:val="0"/>
          <w:sz w:val="22"/>
        </w:rPr>
      </w:pPr>
      <w:r>
        <w:rPr>
          <w:rFonts w:ascii="BMPQJI+MicrosoftYaHei" w:hAnsi="BMPQJI+MicrosoftYaHei" w:cs="BMPQJI+MicrosoftYaHei"/>
          <w:color w:val="000000"/>
          <w:spacing w:val="0"/>
          <w:sz w:val="22"/>
        </w:rPr>
        <w:t>单位</w:t>
      </w:r>
      <w:r>
        <w:rPr>
          <w:rFonts w:ascii="HMRQGM+MicrosoftYaHei"/>
          <w:color w:val="000000"/>
          <w:spacing w:val="0"/>
          <w:sz w:val="22"/>
        </w:rPr>
        <w:t xml:space="preserve">:  </w:t>
      </w:r>
      <w:r>
        <w:rPr>
          <w:rFonts w:ascii="BMPQJI+MicrosoftYaHei" w:hAnsi="BMPQJI+MicrosoftYaHei" w:cs="BMPQJI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HMRQGM+MicrosoftYaHei"/>
          <w:color w:val="000000"/>
          <w:spacing w:val="0"/>
          <w:sz w:val="22"/>
        </w:rPr>
      </w:pPr>
      <w:r>
        <w:rPr>
          <w:rFonts w:ascii="BMPQJI+MicrosoftYaHei" w:hAnsi="BMPQJI+MicrosoftYaHei" w:cs="BMPQJI+MicrosoftYaHei"/>
          <w:color w:val="000000"/>
          <w:spacing w:val="0"/>
          <w:sz w:val="22"/>
        </w:rPr>
        <w:t>部门</w:t>
      </w:r>
      <w:r>
        <w:rPr>
          <w:rFonts w:ascii="HMRQGM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MRQGM+MicrosoftYaHei"/>
          <w:color w:val="000000"/>
          <w:spacing w:val="0"/>
          <w:sz w:val="22"/>
        </w:rPr>
      </w:pPr>
      <w:r>
        <w:rPr>
          <w:rFonts w:ascii="BMPQJI+MicrosoftYaHei" w:hAnsi="BMPQJI+MicrosoftYaHei" w:cs="BMPQJI+MicrosoftYaHei"/>
          <w:color w:val="000000"/>
          <w:spacing w:val="0"/>
          <w:sz w:val="22"/>
        </w:rPr>
        <w:t>联系方式</w:t>
      </w:r>
      <w:r>
        <w:rPr>
          <w:rFonts w:ascii="HMRQGM+MicrosoftYaHei"/>
          <w:color w:val="000000"/>
          <w:spacing w:val="0"/>
          <w:sz w:val="22"/>
        </w:rPr>
        <w:t>:  138****2308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MRQGM+MicrosoftYaHei"/>
          <w:color w:val="000000"/>
          <w:spacing w:val="0"/>
          <w:sz w:val="22"/>
        </w:rPr>
      </w:pPr>
      <w:r>
        <w:rPr>
          <w:rFonts w:ascii="BMPQJI+MicrosoftYaHei" w:hAnsi="BMPQJI+MicrosoftYaHei" w:cs="BMPQJI+MicrosoftYaHei"/>
          <w:color w:val="000000"/>
          <w:spacing w:val="0"/>
          <w:sz w:val="22"/>
        </w:rPr>
        <w:t>身份证号</w:t>
      </w:r>
      <w:r>
        <w:rPr>
          <w:rFonts w:ascii="HMRQGM+MicrosoftYaHei"/>
          <w:color w:val="000000"/>
          <w:spacing w:val="0"/>
          <w:sz w:val="22"/>
        </w:rPr>
        <w:t>: 110105********2531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MPQJI+MicrosoftYaHei" w:hAnsi="BMPQJI+MicrosoftYaHei" w:cs="BMPQJI+MicrosoftYaHei"/>
          <w:color w:val="000000"/>
          <w:spacing w:val="0"/>
          <w:sz w:val="28"/>
        </w:rPr>
      </w:pPr>
      <w:r>
        <w:rPr>
          <w:rFonts w:ascii="BMPQJI+MicrosoftYaHei" w:hAnsi="BMPQJI+MicrosoftYaHei" w:cs="BMPQJI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MPQJI+MicrosoftYaHei" w:hAnsi="BMPQJI+MicrosoftYaHei" w:cs="BMPQJI+MicrosoftYaHei"/>
          <w:color w:val="000000"/>
          <w:spacing w:val="0"/>
          <w:sz w:val="28"/>
        </w:rPr>
      </w:pPr>
      <w:r>
        <w:rPr>
          <w:rFonts w:ascii="BMPQJI+MicrosoftYaHei" w:hAnsi="BMPQJI+MicrosoftYaHei" w:cs="BMPQJI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尊敬的张建安先生：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OUFAWN+Wingdings-Regular" w:hAnsi="OUFAWN+Wingdings-Regular" w:cs="OUFAWN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429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OUFAWN+Wingdings-Regular" w:hAnsi="OUFAWN+Wingdings-Regular" w:cs="OUFAWN+Wingdings-Regular"/>
          <w:color w:val="000000"/>
          <w:spacing w:val="0"/>
          <w:sz w:val="23"/>
        </w:rPr>
      </w:pPr>
      <w:r>
        <w:rPr>
          <w:rFonts w:ascii="OUFAWN+Wingdings-Regular" w:hAnsi="OUFAWN+Wingdings-Regular" w:cs="OUFAWN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OUFAWN+Wingdings-Regular" w:hAnsi="OUFAWN+Wingdings-Regular" w:cs="OUFAWN+Wingdings-Regular"/>
          <w:color w:val="000000"/>
          <w:spacing w:val="0"/>
          <w:sz w:val="23"/>
        </w:rPr>
      </w:pPr>
      <w:r>
        <w:rPr>
          <w:rFonts w:ascii="OUFAWN+Wingdings-Regular" w:hAnsi="OUFAWN+Wingdings-Regular" w:cs="OUFAWN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UFAWN+Wingdings-Regular" w:hAnsi="OUFAWN+Wingdings-Regular" w:cs="OUFAWN+Wingdings-Regular"/>
          <w:color w:val="000000"/>
          <w:spacing w:val="0"/>
          <w:sz w:val="23"/>
        </w:rPr>
      </w:pPr>
      <w:r>
        <w:rPr>
          <w:rFonts w:ascii="OUFAWN+Wingdings-Regular" w:hAnsi="OUFAWN+Wingdings-Regular" w:cs="OUFAWN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张建安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663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高脂血症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</w:t>
      </w:r>
      <w:r>
        <w:rPr>
          <w:rFonts w:ascii="FangSong" w:hAnsi="FangSong" w:cs="FangSong"/>
          <w:color w:val="000000"/>
          <w:spacing w:val="0"/>
          <w:sz w:val="22"/>
        </w:rPr>
        <w:t>醇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(1.09 mmol/L)*</w:t>
      </w:r>
    </w:p>
    <w:p>
      <w:pPr>
        <w:pStyle w:val="Normal"/>
        <w:framePr w:w="6631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317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455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650" w:x="1440" w:y="67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7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747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747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1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81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1" w:x="1190" w:y="88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/>
          <w:color w:val="000000"/>
          <w:spacing w:val="0"/>
          <w:sz w:val="22"/>
        </w:rPr>
        <w:t>(177 g/L)[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1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睡眠呼吸暂停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通气综合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91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原居民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</w:t>
      </w:r>
      <w:r>
        <w:rPr>
          <w:rFonts w:ascii="FangSong" w:hAnsi="FangSong" w:cs="FangSong"/>
          <w:color w:val="000000"/>
          <w:spacing w:val="0"/>
          <w:sz w:val="22"/>
        </w:rPr>
        <w:t>缩状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98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094" w:x="1190" w:y="102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右束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1057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右束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首次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9930" w:x="1190" w:y="1057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影增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影增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肺血</w:t>
      </w:r>
      <w:r>
        <w:rPr>
          <w:rFonts w:ascii="FangSong" w:hAnsi="FangSong" w:cs="FangSong"/>
          <w:color w:val="000000"/>
          <w:spacing w:val="0"/>
          <w:sz w:val="22"/>
        </w:rPr>
        <w:t>管异常、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区肿瘤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叠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。请结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655" w:x="1440" w:y="115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检查、诊治。</w:t>
      </w:r>
    </w:p>
    <w:p>
      <w:pPr>
        <w:pStyle w:val="Normal"/>
        <w:framePr w:w="2345" w:x="1190" w:y="118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1224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1224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9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29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079" w:x="1190" w:y="135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9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391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698" w:x="1190" w:y="1454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(51 %)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细胞百</w:t>
      </w:r>
    </w:p>
    <w:p>
      <w:pPr>
        <w:pStyle w:val="Normal"/>
        <w:framePr w:w="10698" w:x="1190" w:y="14543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1517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86.3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86.3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:2018-05-02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74.3Kg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27.46,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0.93,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89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2012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130/80mmHg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2016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7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2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9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8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2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90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84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84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84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84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1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6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1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1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10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5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54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5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55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55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5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9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3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2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2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5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56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5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9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9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9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4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4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99.7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70.3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07.9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75.95pt;z-index:-179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6.1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93.55pt;z-index:-187;width:507pt;height:53.0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7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5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8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6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6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0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2011" w:x="2210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91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90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8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24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05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316" w:x="2210" w:y="124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完</w:t>
      </w:r>
      <w:r>
        <w:rPr>
          <w:rFonts w:ascii="FangSong" w:hAnsi="FangSong" w:cs="FangSong"/>
          <w:color w:val="000000"/>
          <w:spacing w:val="0"/>
          <w:sz w:val="20"/>
        </w:rPr>
        <w:t>全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右束</w:t>
      </w:r>
      <w:r>
        <w:rPr>
          <w:rFonts w:ascii="FangSong" w:hAnsi="FangSong" w:cs="FangSong"/>
          <w:color w:val="000000"/>
          <w:spacing w:val="0"/>
          <w:sz w:val="20"/>
        </w:rPr>
        <w:t>支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 w:hAnsi="FangSong" w:cs="FangSong"/>
          <w:color w:val="000000"/>
          <w:spacing w:val="0"/>
          <w:sz w:val="20"/>
        </w:rPr>
        <w:t>阻</w:t>
      </w:r>
      <w:r>
        <w:rPr>
          <w:rFonts w:ascii="FangSong" w:hAnsi="FangSong" w:cs="FangSong"/>
          <w:color w:val="000000"/>
          <w:spacing w:val="0"/>
          <w:sz w:val="20"/>
        </w:rPr>
        <w:t>滞</w:t>
      </w:r>
    </w:p>
    <w:p>
      <w:pPr>
        <w:pStyle w:val="Normal"/>
        <w:framePr w:w="902" w:x="1450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4" w:x="914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359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359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1383.54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3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0.70</w:t>
      </w:r>
    </w:p>
    <w:p>
      <w:pPr>
        <w:pStyle w:val="Normal"/>
        <w:framePr w:w="1810" w:x="9480" w:y="14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742"/>
        <w:widowControl w:val="off"/>
        <w:autoSpaceDE w:val="off"/>
        <w:autoSpaceDN w:val="off"/>
        <w:spacing w:before="0" w:after="0" w:line="93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94.3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56.6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94.2pt;z-index:-207;width:507pt;height:82.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95.1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32.55pt;z-index:-215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80.9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18.3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8.0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5.5pt;z-index:-231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搏波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 xml:space="preserve">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06.65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45.05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84.4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21.85pt;z-index:-25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7mmx7mm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5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98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8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544" w:x="4150" w:y="103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6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4mmx3mm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618" w:x="4150" w:y="106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20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15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8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腔可见斑</w:t>
      </w:r>
    </w:p>
    <w:p>
      <w:pPr>
        <w:pStyle w:val="Normal"/>
        <w:framePr w:w="7745" w:x="4150" w:y="118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大一</w:t>
      </w:r>
      <w:r>
        <w:rPr>
          <w:rFonts w:ascii="FangSong" w:hAnsi="FangSong" w:cs="FangSong"/>
          <w:color w:val="000000"/>
          <w:spacing w:val="0"/>
          <w:sz w:val="22"/>
        </w:rPr>
        <w:t>个位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3.2mmx1.6mm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181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126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6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30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305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682" w:x="2066" w:y="1305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788" w:x="7747" w:y="147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3014" w:x="1975" w:y="147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125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</w:p>
    <w:p>
      <w:pPr>
        <w:pStyle w:val="Normal"/>
        <w:framePr w:w="9125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影增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影增</w:t>
      </w:r>
      <w:r>
        <w:rPr>
          <w:rFonts w:ascii="FangSong" w:hAnsi="FangSong" w:cs="FangSong"/>
          <w:color w:val="000000"/>
          <w:spacing w:val="0"/>
          <w:sz w:val="22"/>
        </w:rPr>
        <w:t>大。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、心、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4824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影增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25.85pt;z-index:-30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189.7pt;margin-top:146pt;z-index:-307;width:232.55pt;height:204.8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24pt;margin-top:54.15pt;z-index:-31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3.65pt;margin-top:28.95pt;z-index:-32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9.3pt;margin-top:102.05pt;z-index:-32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5.5pt;margin-top:525.05pt;z-index:-33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9.3pt;margin-top:29.95pt;z-index:-33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32.15pt;margin-top:77.25pt;z-index:-34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：张建安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99" w:x="6398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</w:t>
      </w:r>
    </w:p>
    <w:p>
      <w:pPr>
        <w:pStyle w:val="Normal"/>
        <w:framePr w:w="601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500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2.58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177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5.36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0.489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91.2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362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5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702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</w:t>
      </w:r>
    </w:p>
    <w:p>
      <w:pPr>
        <w:pStyle w:val="Normal"/>
        <w:framePr w:w="702" w:x="5150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</w:t>
      </w:r>
    </w:p>
    <w:p>
      <w:pPr>
        <w:pStyle w:val="Normal"/>
        <w:framePr w:w="702" w:x="5150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702" w:x="5150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16.4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45.7pt;margin-top:29.95pt;z-index:-3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37.35pt;z-index:-3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2.7pt;margin-top:160.75pt;z-index:-3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4.3pt;margin-top:174.45pt;z-index:-35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：张建安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400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330.1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</w:t>
      </w:r>
      <w:r>
        <w:rPr>
          <w:rFonts w:ascii="FangSong" w:hAnsi="FangSong" w:cs="FangSong"/>
          <w:color w:val="000000"/>
          <w:spacing w:val="0"/>
          <w:sz w:val="20"/>
        </w:rPr>
        <w:t>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2.66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5.78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21.22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0.156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0.43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1.36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312.7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326.35pt;z-index:-38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547.15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560.85pt;z-index:-39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776.6pt;z-index:-3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0pt;margin-top:0pt;z-index:-3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：张建安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131804270011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0" style="position:absolute;margin-left:45.7pt;margin-top:29.95pt;z-index:-4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137.35pt;z-index:-40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MPQJI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766d492-0000-0000-0000-000000000000}"/>
  </w:font>
  <w:font w:name="HMRQGM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428b5bd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UFAW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555ada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2932</Words>
  <Characters>6161</Characters>
  <Application>Aspose</Application>
  <DocSecurity>0</DocSecurity>
  <Lines>823</Lines>
  <Paragraphs>823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6569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2019-12-19T17:22:58+08:00</dcterms:created>
  <dcterms:modified xmlns:xsi="http://www.w3.org/2001/XMLSchema-instance" xmlns:dcterms="http://purl.org/dc/terms/" xsi:type="dcterms:W3CDTF">2019-12-19T17:22:58+08:00</dcterms:modified>
</coreProperties>
</file>