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18"/>
        </w:rPr>
      </w:pPr>
      <w:r>
        <w:rPr>
          <w:rFonts w:ascii="NDEITP+MicrosoftYaHei" w:hAnsi="NDEITP+MicrosoftYaHei" w:cs="NDEIT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RVHVQ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体检日期</w:t>
      </w:r>
      <w:r>
        <w:rPr>
          <w:rFonts w:ascii="VRVHVQ+MicrosoftYaHei"/>
          <w:color w:val="000000"/>
          <w:spacing w:val="0"/>
          <w:sz w:val="22"/>
        </w:rPr>
        <w:t>:  2018-04-23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姓名</w:t>
      </w:r>
      <w:r>
        <w:rPr>
          <w:rFonts w:ascii="VRVHVQ+MicrosoftYaHei"/>
          <w:color w:val="000000"/>
          <w:spacing w:val="0"/>
          <w:sz w:val="22"/>
        </w:rPr>
        <w:t xml:space="preserve">:  </w:t>
      </w:r>
      <w:r>
        <w:rPr>
          <w:rFonts w:ascii="NDEITP+MicrosoftYaHei" w:hAnsi="NDEITP+MicrosoftYaHei" w:cs="NDEITP+MicrosoftYaHei"/>
          <w:color w:val="000000"/>
          <w:spacing w:val="0"/>
          <w:sz w:val="22"/>
        </w:rPr>
        <w:t>沈庙成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RVHVQ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卡号</w:t>
      </w:r>
      <w:r>
        <w:rPr>
          <w:rFonts w:ascii="VRVHVQ+MicrosoftYaHei"/>
          <w:color w:val="000000"/>
          <w:spacing w:val="0"/>
          <w:sz w:val="22"/>
        </w:rPr>
        <w:t xml:space="preserve">:  </w:t>
      </w:r>
      <w:r>
        <w:rPr>
          <w:rFonts w:ascii="VRVHVQ+MicrosoftYaHei"/>
          <w:color w:val="000000"/>
          <w:spacing w:val="0"/>
          <w:sz w:val="22"/>
        </w:rPr>
        <w:t>16022316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性别</w:t>
      </w:r>
      <w:r>
        <w:rPr>
          <w:rFonts w:ascii="VRVHVQ+MicrosoftYaHei"/>
          <w:color w:val="000000"/>
          <w:spacing w:val="0"/>
          <w:sz w:val="22"/>
        </w:rPr>
        <w:t xml:space="preserve">: </w:t>
      </w:r>
      <w:r>
        <w:rPr>
          <w:rFonts w:ascii="NDEITP+MicrosoftYaHei" w:hAnsi="NDEITP+MicrosoftYaHei" w:cs="NDEIT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单位</w:t>
      </w:r>
      <w:r>
        <w:rPr>
          <w:rFonts w:ascii="VRVHVQ+MicrosoftYaHei"/>
          <w:color w:val="000000"/>
          <w:spacing w:val="0"/>
          <w:sz w:val="22"/>
        </w:rPr>
        <w:t xml:space="preserve">:  </w:t>
      </w:r>
      <w:r>
        <w:rPr>
          <w:rFonts w:ascii="NDEITP+MicrosoftYaHei" w:hAnsi="NDEITP+MicrosoftYaHei" w:cs="NDEIT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RVHVQ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部门</w:t>
      </w:r>
      <w:r>
        <w:rPr>
          <w:rFonts w:ascii="VRVHVQ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RVHVQ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联系方式</w:t>
      </w:r>
      <w:r>
        <w:rPr>
          <w:rFonts w:ascii="VRVHVQ+MicrosoftYaHei"/>
          <w:color w:val="000000"/>
          <w:spacing w:val="0"/>
          <w:sz w:val="22"/>
        </w:rPr>
        <w:t>:  139****6882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RVHVQ+MicrosoftYaHei"/>
          <w:color w:val="000000"/>
          <w:spacing w:val="0"/>
          <w:sz w:val="22"/>
        </w:rPr>
      </w:pPr>
      <w:r>
        <w:rPr>
          <w:rFonts w:ascii="NDEITP+MicrosoftYaHei" w:hAnsi="NDEITP+MicrosoftYaHei" w:cs="NDEITP+MicrosoftYaHei"/>
          <w:color w:val="000000"/>
          <w:spacing w:val="0"/>
          <w:sz w:val="22"/>
        </w:rPr>
        <w:t>身份证号</w:t>
      </w:r>
      <w:r>
        <w:rPr>
          <w:rFonts w:ascii="VRVHVQ+MicrosoftYaHei"/>
          <w:color w:val="000000"/>
          <w:spacing w:val="0"/>
          <w:sz w:val="22"/>
        </w:rPr>
        <w:t>: 110102********0033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28"/>
        </w:rPr>
      </w:pPr>
      <w:r>
        <w:rPr>
          <w:rFonts w:ascii="NDEITP+MicrosoftYaHei" w:hAnsi="NDEITP+MicrosoftYaHei" w:cs="NDEIT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NDEITP+MicrosoftYaHei" w:hAnsi="NDEITP+MicrosoftYaHei" w:cs="NDEITP+MicrosoftYaHei"/>
          <w:color w:val="000000"/>
          <w:spacing w:val="0"/>
          <w:sz w:val="28"/>
        </w:rPr>
      </w:pPr>
      <w:r>
        <w:rPr>
          <w:rFonts w:ascii="NDEITP+MicrosoftYaHei" w:hAnsi="NDEITP+MicrosoftYaHei" w:cs="NDEIT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尊敬的沈庙成先生：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RNFQFI+Wingdings-Regular" w:hAnsi="RNFQFI+Wingdings-Regular" w:cs="RNFQFI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448" w:x="328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NFQFI+Wingdings-Regular" w:hAnsi="RNFQFI+Wingdings-Regular" w:cs="RNFQFI+Wingdings-Regular"/>
          <w:color w:val="000000"/>
          <w:spacing w:val="0"/>
          <w:sz w:val="23"/>
        </w:rPr>
      </w:pPr>
      <w:r>
        <w:rPr>
          <w:rFonts w:ascii="RNFQFI+Wingdings-Regular" w:hAnsi="RNFQFI+Wingdings-Regular" w:cs="RNFQFI+Wingdings-Regular"/>
          <w:color w:val="000000"/>
          <w:spacing w:val="0"/>
          <w:sz w:val="23"/>
        </w:rPr>
        <w:t>ü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RNFQFI+Wingdings-Regular" w:hAnsi="RNFQFI+Wingdings-Regular" w:cs="RNFQFI+Wingdings-Regular"/>
          <w:color w:val="000000"/>
          <w:spacing w:val="0"/>
          <w:sz w:val="23"/>
        </w:rPr>
      </w:pPr>
      <w:r>
        <w:rPr>
          <w:rFonts w:ascii="RNFQFI+Wingdings-Regular" w:hAnsi="RNFQFI+Wingdings-Regular" w:cs="RNFQFI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沈庙成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强调规范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根据体重、年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、病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情况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适合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疗不</w:t>
      </w:r>
      <w:r>
        <w:rPr>
          <w:rFonts w:ascii="FangSong" w:hAnsi="FangSong" w:cs="FangSong"/>
          <w:color w:val="000000"/>
          <w:spacing w:val="0"/>
          <w:sz w:val="22"/>
        </w:rPr>
        <w:t>但效</w:t>
      </w:r>
      <w:r>
        <w:rPr>
          <w:rFonts w:ascii="FangSong" w:hAnsi="FangSong" w:cs="FangSong"/>
          <w:color w:val="000000"/>
          <w:spacing w:val="0"/>
          <w:sz w:val="22"/>
        </w:rPr>
        <w:t>果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还可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致低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多种严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果。</w:t>
      </w:r>
    </w:p>
    <w:p>
      <w:pPr>
        <w:pStyle w:val="Normal"/>
        <w:framePr w:w="10440" w:x="1190" w:y="4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状腺素降低</w:t>
      </w:r>
      <w:r>
        <w:rPr>
          <w:rFonts w:ascii="FangSong"/>
          <w:color w:val="000000"/>
          <w:spacing w:val="0"/>
          <w:sz w:val="22"/>
        </w:rPr>
        <w:t>(65.56 nmol/L)</w:t>
      </w:r>
      <w:r>
        <w:rPr>
          <w:rFonts w:ascii="FangSong" w:hAnsi="FangSong" w:cs="FangSong"/>
          <w:color w:val="000000"/>
          <w:spacing w:val="0"/>
          <w:sz w:val="22"/>
        </w:rPr>
        <w:t>，三</w:t>
      </w:r>
      <w:r>
        <w:rPr>
          <w:rFonts w:ascii="FangSong" w:hAnsi="FangSong" w:cs="FangSong"/>
          <w:color w:val="000000"/>
          <w:spacing w:val="0"/>
          <w:sz w:val="22"/>
        </w:rPr>
        <w:t>碘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原氨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(1.21 ng/ml)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40" w:x="1190" w:y="46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17" w:x="1579" w:y="5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45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771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33" w:x="1190" w:y="8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7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42" w:x="1440" w:y="973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10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(3.42 x10^9/L)[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6" w:x="1190" w:y="1007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10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237" w:x="1190" w:y="11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115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18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4090" w:x="1190" w:y="12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90" w:x="1190" w:y="1219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0" w:x="1190" w:y="1219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2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32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079" w:x="1190" w:y="138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2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421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250" w:x="1190" w:y="14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(1.63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51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62.9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62.9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36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3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:2018-04-26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174.5cm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22.43,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</w:t>
      </w:r>
      <w:r>
        <w:rPr>
          <w:rFonts w:ascii="FangSong" w:hAnsi="FangSong" w:cs="FangSong"/>
          <w:color w:val="000000"/>
          <w:spacing w:val="0"/>
          <w:sz w:val="20"/>
        </w:rPr>
        <w:t>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120/80mmHg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70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2008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70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空腹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6mmol/l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75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5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5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5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5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8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8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80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80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8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4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4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9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7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10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06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006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006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10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0066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10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235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1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31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59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59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39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4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2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4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7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7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10.9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81.6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19.1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87.1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73.7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11.2pt;z-index:-187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56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32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32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3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1810" w:x="9480" w:y="7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8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83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6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910" w:x="221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91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90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6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63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8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24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5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4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099" w:x="929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59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35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9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9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1369.70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14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742"/>
        <w:widowControl w:val="off"/>
        <w:autoSpaceDE w:val="off"/>
        <w:autoSpaceDN w:val="off"/>
        <w:spacing w:before="0" w:after="0" w:line="93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6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4.2pt;z-index:-207;width:507pt;height:82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95.1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32.55pt;z-index:-215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80.9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8.3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8.05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5.5pt;z-index:-231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下动脉起</w:t>
      </w:r>
      <w:r>
        <w:rPr>
          <w:rFonts w:ascii="FangSong" w:hAnsi="FangSong" w:cs="FangSong"/>
          <w:color w:val="000000"/>
          <w:spacing w:val="0"/>
          <w:sz w:val="22"/>
        </w:rPr>
        <w:t>始段探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4.2mmx2.4mm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下动脉斑块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34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</w:p>
    <w:p>
      <w:pPr>
        <w:pStyle w:val="Normal"/>
        <w:framePr w:w="734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30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</w:t>
      </w:r>
      <w:r>
        <w:rPr>
          <w:rFonts w:ascii="FangSong" w:hAnsi="FangSong" w:cs="FangSong"/>
          <w:color w:val="000000"/>
          <w:spacing w:val="0"/>
          <w:sz w:val="22"/>
        </w:rPr>
        <w:t>曲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16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：沈庙成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9.1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347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：沈庙成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3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肌酐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液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112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  <w:r>
        <w:rPr>
          <w:rFonts w:ascii="FangSong"/>
          <w:color w:val="000000"/>
          <w:spacing w:val="0"/>
          <w:sz w:val="20"/>
        </w:rPr>
        <w:t>[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/>
          <w:color w:val="000000"/>
          <w:spacing w:val="0"/>
          <w:sz w:val="20"/>
        </w:rPr>
        <w:t>]</w:t>
      </w:r>
    </w:p>
    <w:p>
      <w:pPr>
        <w:pStyle w:val="Normal"/>
        <w:framePr w:w="2112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微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白定量</w:t>
      </w:r>
    </w:p>
    <w:p>
      <w:pPr>
        <w:pStyle w:val="Normal"/>
        <w:framePr w:w="2112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微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白定量</w:t>
      </w:r>
    </w:p>
    <w:p>
      <w:pPr>
        <w:pStyle w:val="Normal"/>
        <w:framePr w:w="2112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肌酐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液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601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uCr</w:t>
      </w:r>
    </w:p>
    <w:p>
      <w:pPr>
        <w:pStyle w:val="Normal"/>
        <w:framePr w:w="601" w:x="4130" w:y="4635"/>
        <w:widowControl w:val="off"/>
        <w:autoSpaceDE w:val="off"/>
        <w:autoSpaceDN w:val="off"/>
        <w:spacing w:before="0" w:after="0" w:line="121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ACR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10287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3.33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607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904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702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mg/L</w:t>
      </w:r>
    </w:p>
    <w:p>
      <w:pPr>
        <w:pStyle w:val="Normal"/>
        <w:framePr w:w="702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0-25</w:t>
      </w:r>
    </w:p>
    <w:p>
      <w:pPr>
        <w:pStyle w:val="Normal"/>
        <w:framePr w:w="2895" w:x="900" w:y="5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微</w:t>
      </w:r>
      <w:r>
        <w:rPr>
          <w:rFonts w:ascii="FangSong" w:hAnsi="FangSong" w:cs="FangSong"/>
          <w:color w:val="000000"/>
          <w:spacing w:val="0"/>
          <w:sz w:val="20"/>
        </w:rPr>
        <w:t>量白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895" w:x="900" w:y="585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904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0-3.17</w:t>
      </w:r>
    </w:p>
    <w:p>
      <w:pPr>
        <w:pStyle w:val="Normal"/>
        <w:framePr w:w="904" w:x="8969" w:y="5850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6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910" w:x="900" w:y="6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676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7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7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1614" w:x="6281" w:y="7062"/>
        <w:widowControl w:val="off"/>
        <w:autoSpaceDE w:val="off"/>
        <w:autoSpaceDN w:val="off"/>
        <w:spacing w:before="0" w:after="0" w:line="199" w:lineRule="exact"/>
        <w:ind w:left="1082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614" w:x="6281" w:y="7062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004" w:x="8969" w:y="70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576" w:x="9223" w:y="7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77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78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8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8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8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8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83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400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500" w:x="515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</w:p>
    <w:p>
      <w:pPr>
        <w:pStyle w:val="Normal"/>
        <w:framePr w:w="1104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292.4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3.36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1.64</w:t>
      </w:r>
    </w:p>
    <w:p>
      <w:pPr>
        <w:pStyle w:val="Normal"/>
        <w:framePr w:w="803" w:x="5150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1104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8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8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84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114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114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111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2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21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24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2481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30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30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30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30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30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663" w:x="900" w:y="134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663" w:x="900" w:y="134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1722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2.92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nmol/L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500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T3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1.21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65.56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15.58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2.26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99" w:x="6398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0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1.3-3.1</w:t>
      </w:r>
    </w:p>
    <w:p>
      <w:pPr>
        <w:pStyle w:val="Normal"/>
        <w:framePr w:w="10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66-181</w:t>
      </w:r>
    </w:p>
    <w:p>
      <w:pPr>
        <w:pStyle w:val="Normal"/>
        <w:framePr w:w="10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500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T4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70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702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TGAb</w:t>
      </w:r>
    </w:p>
    <w:p>
      <w:pPr>
        <w:pStyle w:val="Normal"/>
        <w:framePr w:w="1910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1307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&lt;115</w:t>
      </w:r>
    </w:p>
    <w:p>
      <w:pPr>
        <w:pStyle w:val="Normal"/>
        <w:framePr w:w="2316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球蛋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231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403.65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417.3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638.1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651.8pt;z-index:-403;width:533.4pt;height:125.8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16022316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：沈庙成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状腺过</w:t>
      </w:r>
      <w:r>
        <w:rPr>
          <w:rFonts w:ascii="FangSong" w:hAnsi="FangSong" w:cs="FangSong"/>
          <w:color w:val="000000"/>
          <w:spacing w:val="0"/>
          <w:sz w:val="20"/>
        </w:rPr>
        <w:t>氧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物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TPOAb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9.27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IU/ml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601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&lt;34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31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803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0.137</w:t>
      </w:r>
    </w:p>
    <w:p>
      <w:pPr>
        <w:pStyle w:val="Normal"/>
        <w:framePr w:w="803" w:x="5150" w:y="342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6.21</w:t>
      </w:r>
    </w:p>
    <w:p>
      <w:pPr>
        <w:pStyle w:val="Normal"/>
        <w:framePr w:w="803" w:x="5150" w:y="342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0.089</w:t>
      </w:r>
    </w:p>
    <w:p>
      <w:pPr>
        <w:pStyle w:val="Normal"/>
        <w:framePr w:w="1408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243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4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0.65</w:t>
      </w:r>
    </w:p>
    <w:p>
      <w:pPr>
        <w:pStyle w:val="Normal"/>
        <w:framePr w:w="601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46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463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1.25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1.84</w:t>
      </w:r>
    </w:p>
    <w:p>
      <w:pPr>
        <w:pStyle w:val="Normal"/>
        <w:framePr w:w="803" w:x="5150" w:y="463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12.94</w:t>
      </w:r>
    </w:p>
    <w:p>
      <w:pPr>
        <w:pStyle w:val="Normal"/>
        <w:framePr w:w="803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46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463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49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NDEIT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419a31b-0000-0000-0000-000000000000}"/>
  </w:font>
  <w:font w:name="VRVHVQ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4975db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RNFQF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952583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3071</Words>
  <Characters>6491</Characters>
  <Application>Aspose</Application>
  <DocSecurity>0</DocSecurity>
  <Lines>865</Lines>
  <Paragraphs>865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6927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2019-12-19T17:24:53+08:00</dcterms:created>
  <dcterms:modified xmlns:xsi="http://www.w3.org/2001/XMLSchema-instance" xmlns:dcterms="http://purl.org/dc/terms/" xsi:type="dcterms:W3CDTF">2019-12-19T17:24:53+08:00</dcterms:modified>
</coreProperties>
</file>