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18"/>
        </w:rPr>
      </w:pPr>
      <w:r>
        <w:rPr>
          <w:rFonts w:ascii="FHDWSN+MicrosoftYaHei" w:hAnsi="FHDWSN+MicrosoftYaHei" w:cs="FHDWS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GVTFU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体检日期</w:t>
      </w:r>
      <w:r>
        <w:rPr>
          <w:rFonts w:ascii="QGVTFU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姓名</w:t>
      </w:r>
      <w:r>
        <w:rPr>
          <w:rFonts w:ascii="QGVTFU+MicrosoftYaHei"/>
          <w:color w:val="000000"/>
          <w:spacing w:val="0"/>
          <w:sz w:val="22"/>
        </w:rPr>
        <w:t xml:space="preserve">:  </w:t>
      </w:r>
      <w:r>
        <w:rPr>
          <w:rFonts w:ascii="FHDWSN+MicrosoftYaHei" w:hAnsi="FHDWSN+MicrosoftYaHei" w:cs="FHDWSN+MicrosoftYaHei"/>
          <w:color w:val="000000"/>
          <w:spacing w:val="0"/>
          <w:sz w:val="22"/>
        </w:rPr>
        <w:t>谢力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GVTFU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卡号</w:t>
      </w:r>
      <w:r>
        <w:rPr>
          <w:rFonts w:ascii="QGVTFU+MicrosoftYaHei"/>
          <w:color w:val="000000"/>
          <w:spacing w:val="0"/>
          <w:sz w:val="22"/>
        </w:rPr>
        <w:t xml:space="preserve">:  </w:t>
      </w:r>
      <w:r>
        <w:rPr>
          <w:rFonts w:ascii="QGVTFU+MicrosoftYaHei"/>
          <w:color w:val="000000"/>
          <w:spacing w:val="0"/>
          <w:sz w:val="22"/>
        </w:rPr>
        <w:t>16014077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性别</w:t>
      </w:r>
      <w:r>
        <w:rPr>
          <w:rFonts w:ascii="QGVTFU+MicrosoftYaHei"/>
          <w:color w:val="000000"/>
          <w:spacing w:val="0"/>
          <w:sz w:val="22"/>
        </w:rPr>
        <w:t xml:space="preserve">: </w:t>
      </w:r>
      <w:r>
        <w:rPr>
          <w:rFonts w:ascii="FHDWSN+MicrosoftYaHei" w:hAnsi="FHDWSN+MicrosoftYaHei" w:cs="FHDWSN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单位</w:t>
      </w:r>
      <w:r>
        <w:rPr>
          <w:rFonts w:ascii="QGVTFU+MicrosoftYaHei"/>
          <w:color w:val="000000"/>
          <w:spacing w:val="0"/>
          <w:sz w:val="22"/>
        </w:rPr>
        <w:t xml:space="preserve">:  </w:t>
      </w:r>
      <w:r>
        <w:rPr>
          <w:rFonts w:ascii="FHDWSN+MicrosoftYaHei" w:hAnsi="FHDWSN+MicrosoftYaHei" w:cs="FHDWS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QGVTFU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部门</w:t>
      </w:r>
      <w:r>
        <w:rPr>
          <w:rFonts w:ascii="QGVTF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GVTFU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联系方式</w:t>
      </w:r>
      <w:r>
        <w:rPr>
          <w:rFonts w:ascii="QGVTFU+MicrosoftYaHei"/>
          <w:color w:val="000000"/>
          <w:spacing w:val="0"/>
          <w:sz w:val="22"/>
        </w:rPr>
        <w:t>:  136****5577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GVTFU+MicrosoftYaHei"/>
          <w:color w:val="000000"/>
          <w:spacing w:val="0"/>
          <w:sz w:val="22"/>
        </w:rPr>
      </w:pPr>
      <w:r>
        <w:rPr>
          <w:rFonts w:ascii="FHDWSN+MicrosoftYaHei" w:hAnsi="FHDWSN+MicrosoftYaHei" w:cs="FHDWSN+MicrosoftYaHei"/>
          <w:color w:val="000000"/>
          <w:spacing w:val="0"/>
          <w:sz w:val="22"/>
        </w:rPr>
        <w:t>身份证号</w:t>
      </w:r>
      <w:r>
        <w:rPr>
          <w:rFonts w:ascii="QGVTFU+MicrosoftYaHei"/>
          <w:color w:val="000000"/>
          <w:spacing w:val="0"/>
          <w:sz w:val="22"/>
        </w:rPr>
        <w:t>: 110102********0032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28"/>
        </w:rPr>
      </w:pPr>
      <w:r>
        <w:rPr>
          <w:rFonts w:ascii="FHDWSN+MicrosoftYaHei" w:hAnsi="FHDWSN+MicrosoftYaHei" w:cs="FHDWS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DWSN+MicrosoftYaHei" w:hAnsi="FHDWSN+MicrosoftYaHei" w:cs="FHDWSN+MicrosoftYaHei"/>
          <w:color w:val="000000"/>
          <w:spacing w:val="0"/>
          <w:sz w:val="28"/>
        </w:rPr>
      </w:pPr>
      <w:r>
        <w:rPr>
          <w:rFonts w:ascii="FHDWSN+MicrosoftYaHei" w:hAnsi="FHDWSN+MicrosoftYaHei" w:cs="FHDWS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尊敬的谢力先生：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448" w:x="3276" w:y="40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FJVJG+Wingdings-Regular" w:hAnsi="UFJVJG+Wingdings-Regular" w:cs="UFJVJG+Wingdings-Regular"/>
          <w:color w:val="000000"/>
          <w:spacing w:val="0"/>
          <w:sz w:val="23"/>
        </w:rPr>
      </w:pPr>
      <w:r>
        <w:rPr>
          <w:rFonts w:ascii="UFJVJG+Wingdings-Regular" w:hAnsi="UFJVJG+Wingdings-Regular" w:cs="UFJVJG+Wingdings-Regular"/>
          <w:color w:val="000000"/>
          <w:spacing w:val="0"/>
          <w:sz w:val="23"/>
        </w:rPr>
        <w:t>ü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FJVJG+Wingdings-Regular" w:hAnsi="UFJVJG+Wingdings-Regular" w:cs="UFJVJG+Wingdings-Regular"/>
          <w:color w:val="000000"/>
          <w:spacing w:val="0"/>
          <w:sz w:val="23"/>
        </w:rPr>
      </w:pPr>
      <w:r>
        <w:rPr>
          <w:rFonts w:ascii="UFJVJG+Wingdings-Regular" w:hAnsi="UFJVJG+Wingdings-Regular" w:cs="UFJVJG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UFJVJG+Wingdings-Regular" w:hAnsi="UFJVJG+Wingdings-Regular" w:cs="UFJVJG+Wingdings-Regular"/>
          <w:color w:val="000000"/>
          <w:spacing w:val="0"/>
          <w:sz w:val="23"/>
        </w:rPr>
      </w:pPr>
      <w:r>
        <w:rPr>
          <w:rFonts w:ascii="UFJVJG+Wingdings-Regular" w:hAnsi="UFJVJG+Wingdings-Regular" w:cs="UFJVJG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UFJVJG+Wingdings-Regular" w:hAnsi="UFJVJG+Wingdings-Regular" w:cs="UFJVJG+Wingdings-Regular"/>
          <w:color w:val="000000"/>
          <w:spacing w:val="0"/>
          <w:sz w:val="23"/>
        </w:rPr>
      </w:pPr>
      <w:r>
        <w:rPr>
          <w:rFonts w:ascii="UFJVJG+Wingdings-Regular" w:hAnsi="UFJVJG+Wingdings-Regular" w:cs="UFJVJG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FJVJG+Wingdings-Regular" w:hAnsi="UFJVJG+Wingdings-Regular" w:cs="UFJVJG+Wingdings-Regular"/>
          <w:color w:val="000000"/>
          <w:spacing w:val="0"/>
          <w:sz w:val="23"/>
        </w:rPr>
      </w:pPr>
      <w:r>
        <w:rPr>
          <w:rFonts w:ascii="UFJVJG+Wingdings-Regular" w:hAnsi="UFJVJG+Wingdings-Regular" w:cs="UFJVJG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谢力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5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5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斑块形成都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520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转移酶轻度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(51 U/L)*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转氨酶升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毒等使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953" w:x="1190" w:y="7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7021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391" w:x="1190" w:y="82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(50.7 %)[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391" w:x="1190" w:y="828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7391" w:x="1190" w:y="828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3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932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33" w:x="1190" w:y="99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915" w:x="1190" w:y="1030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</w:t>
      </w:r>
      <w:r>
        <w:rPr>
          <w:rFonts w:ascii="FangSong" w:hAnsi="FangSong" w:cs="FangSong"/>
          <w:color w:val="000000"/>
          <w:spacing w:val="0"/>
          <w:sz w:val="22"/>
        </w:rPr>
        <w:t>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8915" w:x="1190" w:y="1030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9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09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2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24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30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182cm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18.51,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665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肝炎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2665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愈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104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15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15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11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1104" w:x="1450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1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16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21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1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1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810" w:x="9480" w:y="1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902" w:x="1450" w:y="133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70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70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70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70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70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70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40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0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1389.33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4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3.24</w:t>
      </w:r>
    </w:p>
    <w:p>
      <w:pPr>
        <w:pStyle w:val="Normal"/>
        <w:framePr w:w="1810" w:x="9480" w:y="14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852"/>
        <w:widowControl w:val="off"/>
        <w:autoSpaceDE w:val="off"/>
        <w:autoSpaceDN w:val="off"/>
        <w:spacing w:before="0" w:after="0" w:line="82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586.3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23.85pt;z-index:-17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63.5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01pt;z-index:-18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DOB:26.50</w:t>
      </w:r>
    </w:p>
    <w:p>
      <w:pPr>
        <w:pStyle w:val="Normal"/>
        <w:framePr w:w="2198" w:x="914" w:y="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5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42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106.65pt;z-index:-19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133.75pt;z-index:-20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173.1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10.7pt;z-index:-21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770.35pt;z-index:-2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0pt;margin-top:0pt;z-index:-2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25mmx17mm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45mm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40mm,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级</w:t>
      </w:r>
      <w:r>
        <w:rPr>
          <w:rFonts w:ascii="FangSong" w:hAnsi="FangSong" w:cs="FangSong"/>
          <w:color w:val="000000"/>
          <w:spacing w:val="0"/>
          <w:sz w:val="22"/>
        </w:rPr>
        <w:t>交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16mmx9mm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/>
          <w:color w:val="000000"/>
          <w:spacing w:val="0"/>
          <w:sz w:val="22"/>
        </w:rPr>
        <w:t>12cm/s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RI:0.57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43.55pt;margin-top:44.1pt;z-index:-2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125.85pt;z-index:-2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8.7pt;margin-top:146pt;z-index:-23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209.3pt;margin-top:146pt;z-index:-23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69.7pt;margin-top:146pt;z-index:-23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66.4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8236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8236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发性、</w:t>
      </w:r>
      <w:r>
        <w:rPr>
          <w:rFonts w:ascii="FangSong" w:hAnsi="FangSong" w:cs="FangSong"/>
          <w:color w:val="000000"/>
          <w:spacing w:val="0"/>
          <w:sz w:val="22"/>
        </w:rPr>
        <w:t>陈旧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肋</w:t>
      </w:r>
      <w:r>
        <w:rPr>
          <w:rFonts w:ascii="FangSong" w:hAnsi="FangSong" w:cs="FangSong"/>
          <w:color w:val="000000"/>
          <w:spacing w:val="0"/>
          <w:sz w:val="22"/>
        </w:rPr>
        <w:t>骨骨</w:t>
      </w:r>
      <w:r>
        <w:rPr>
          <w:rFonts w:ascii="FangSong" w:hAnsi="FangSong" w:cs="FangSong"/>
          <w:color w:val="000000"/>
          <w:spacing w:val="0"/>
          <w:sz w:val="22"/>
        </w:rPr>
        <w:t>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24.0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9.3pt;margin-top:29.95pt;z-index:-30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32.15pt;margin-top:77.25pt;z-index:-30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42.7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2.33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161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131804270068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499" w:x="6398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4.71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238.8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621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2.8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21.02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8.68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2.092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8.84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0.27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5.69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282.3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296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16.8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30.5pt;z-index:-35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HDWS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dba0869-0000-0000-0000-000000000000}"/>
  </w:font>
  <w:font w:name="QGVTF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00ce59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FJVJG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c307a7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2424</Words>
  <Characters>5330</Characters>
  <Application>Aspose</Application>
  <DocSecurity>0</DocSecurity>
  <Lines>697</Lines>
  <Paragraphs>697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2019-12-19T17:25:52+08:00</dcterms:created>
  <dcterms:modified xmlns:xsi="http://www.w3.org/2001/XMLSchema-instance" xmlns:dcterms="http://purl.org/dc/terms/" xsi:type="dcterms:W3CDTF">2019-12-19T17:25:52+08:00</dcterms:modified>
</coreProperties>
</file>