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18"/>
        </w:rPr>
      </w:pPr>
      <w:r>
        <w:rPr>
          <w:rFonts w:ascii="RWEEFH+MicrosoftYaHei" w:hAnsi="RWEEFH+MicrosoftYaHei" w:cs="RWEEF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BNEI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体检日期</w:t>
      </w:r>
      <w:r>
        <w:rPr>
          <w:rFonts w:ascii="WSBNEI+MicrosoftYaHei"/>
          <w:color w:val="000000"/>
          <w:spacing w:val="0"/>
          <w:sz w:val="22"/>
        </w:rPr>
        <w:t>:  2018-04-28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姓名</w:t>
      </w:r>
      <w:r>
        <w:rPr>
          <w:rFonts w:ascii="WSBNEI+MicrosoftYaHei"/>
          <w:color w:val="000000"/>
          <w:spacing w:val="0"/>
          <w:sz w:val="22"/>
        </w:rPr>
        <w:t xml:space="preserve">:  </w:t>
      </w:r>
      <w:r>
        <w:rPr>
          <w:rFonts w:ascii="RWEEFH+MicrosoftYaHei" w:hAnsi="RWEEFH+MicrosoftYaHei" w:cs="RWEEFH+MicrosoftYaHei"/>
          <w:color w:val="000000"/>
          <w:spacing w:val="0"/>
          <w:sz w:val="22"/>
        </w:rPr>
        <w:t>牛宝源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BNEI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卡号</w:t>
      </w:r>
      <w:r>
        <w:rPr>
          <w:rFonts w:ascii="WSBNEI+MicrosoftYaHei"/>
          <w:color w:val="000000"/>
          <w:spacing w:val="0"/>
          <w:sz w:val="22"/>
        </w:rPr>
        <w:t xml:space="preserve">:  </w:t>
      </w:r>
      <w:r>
        <w:rPr>
          <w:rFonts w:ascii="WSBNEI+MicrosoftYaHei"/>
          <w:color w:val="000000"/>
          <w:spacing w:val="0"/>
          <w:sz w:val="22"/>
        </w:rPr>
        <w:t>18053670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性别</w:t>
      </w:r>
      <w:r>
        <w:rPr>
          <w:rFonts w:ascii="WSBNEI+MicrosoftYaHei"/>
          <w:color w:val="000000"/>
          <w:spacing w:val="0"/>
          <w:sz w:val="22"/>
        </w:rPr>
        <w:t xml:space="preserve">: </w:t>
      </w:r>
      <w:r>
        <w:rPr>
          <w:rFonts w:ascii="RWEEFH+MicrosoftYaHei" w:hAnsi="RWEEFH+MicrosoftYaHei" w:cs="RWEEF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单位</w:t>
      </w:r>
      <w:r>
        <w:rPr>
          <w:rFonts w:ascii="WSBNEI+MicrosoftYaHei"/>
          <w:color w:val="000000"/>
          <w:spacing w:val="0"/>
          <w:sz w:val="22"/>
        </w:rPr>
        <w:t xml:space="preserve">:  </w:t>
      </w:r>
      <w:r>
        <w:rPr>
          <w:rFonts w:ascii="RWEEFH+MicrosoftYaHei" w:hAnsi="RWEEFH+MicrosoftYaHei" w:cs="RWEEF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WSBNEI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部门</w:t>
      </w:r>
      <w:r>
        <w:rPr>
          <w:rFonts w:ascii="WSBNEI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BNEI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联系方式</w:t>
      </w:r>
      <w:r>
        <w:rPr>
          <w:rFonts w:ascii="WSBNEI+MicrosoftYaHei"/>
          <w:color w:val="000000"/>
          <w:spacing w:val="0"/>
          <w:sz w:val="22"/>
        </w:rPr>
        <w:t>:  139****6999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BNEI+MicrosoftYaHei"/>
          <w:color w:val="000000"/>
          <w:spacing w:val="0"/>
          <w:sz w:val="22"/>
        </w:rPr>
      </w:pPr>
      <w:r>
        <w:rPr>
          <w:rFonts w:ascii="RWEEFH+MicrosoftYaHei" w:hAnsi="RWEEFH+MicrosoftYaHei" w:cs="RWEEFH+MicrosoftYaHei"/>
          <w:color w:val="000000"/>
          <w:spacing w:val="0"/>
          <w:sz w:val="22"/>
        </w:rPr>
        <w:t>身份证号</w:t>
      </w:r>
      <w:r>
        <w:rPr>
          <w:rFonts w:ascii="WSBNEI+MicrosoftYaHei"/>
          <w:color w:val="000000"/>
          <w:spacing w:val="0"/>
          <w:sz w:val="22"/>
        </w:rPr>
        <w:t>: 110108********6339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28"/>
        </w:rPr>
      </w:pPr>
      <w:r>
        <w:rPr>
          <w:rFonts w:ascii="RWEEFH+MicrosoftYaHei" w:hAnsi="RWEEFH+MicrosoftYaHei" w:cs="RWEEF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WEEFH+MicrosoftYaHei" w:hAnsi="RWEEFH+MicrosoftYaHei" w:cs="RWEEFH+MicrosoftYaHei"/>
          <w:color w:val="000000"/>
          <w:spacing w:val="0"/>
          <w:sz w:val="28"/>
        </w:rPr>
      </w:pPr>
      <w:r>
        <w:rPr>
          <w:rFonts w:ascii="RWEEFH+MicrosoftYaHei" w:hAnsi="RWEEFH+MicrosoftYaHei" w:cs="RWEEF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尊敬的牛宝源先生：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28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JUPKLG+Wingdings-Regular" w:hAnsi="JUPKLG+Wingdings-Regular" w:cs="JUPKLG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448" w:x="3276" w:y="40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JUPKLG+Wingdings-Regular" w:hAnsi="JUPKLG+Wingdings-Regular" w:cs="JUPKLG+Wingdings-Regular"/>
          <w:color w:val="000000"/>
          <w:spacing w:val="0"/>
          <w:sz w:val="23"/>
        </w:rPr>
      </w:pPr>
      <w:r>
        <w:rPr>
          <w:rFonts w:ascii="JUPKLG+Wingdings-Regular" w:hAnsi="JUPKLG+Wingdings-Regular" w:cs="JUPKLG+Wingdings-Regular"/>
          <w:color w:val="000000"/>
          <w:spacing w:val="0"/>
          <w:sz w:val="23"/>
        </w:rPr>
        <w:t>ü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JUPKLG+Wingdings-Regular" w:hAnsi="JUPKLG+Wingdings-Regular" w:cs="JUPKLG+Wingdings-Regular"/>
          <w:color w:val="000000"/>
          <w:spacing w:val="0"/>
          <w:sz w:val="23"/>
        </w:rPr>
      </w:pPr>
      <w:r>
        <w:rPr>
          <w:rFonts w:ascii="JUPKLG+Wingdings-Regular" w:hAnsi="JUPKLG+Wingdings-Regular" w:cs="JUPKLG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牛宝源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67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弥</w:t>
      </w:r>
      <w:r>
        <w:rPr>
          <w:rFonts w:ascii="FangSong" w:hAnsi="FangSong" w:cs="FangSong"/>
          <w:color w:val="000000"/>
          <w:spacing w:val="0"/>
          <w:sz w:val="22"/>
        </w:rPr>
        <w:t>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脾脏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 xml:space="preserve">(99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10^9/L)*</w:t>
      </w:r>
    </w:p>
    <w:p>
      <w:pPr>
        <w:pStyle w:val="Normal"/>
        <w:framePr w:w="9678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请结</w:t>
      </w:r>
      <w:r>
        <w:rPr>
          <w:rFonts w:ascii="FangSong" w:hAnsi="FangSong" w:cs="FangSong"/>
          <w:color w:val="000000"/>
          <w:spacing w:val="0"/>
          <w:sz w:val="22"/>
        </w:rPr>
        <w:t>合原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17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67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491" w:x="1190" w:y="7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(5.27 mIU/L)*</w:t>
      </w:r>
    </w:p>
    <w:p>
      <w:pPr>
        <w:pStyle w:val="Normal"/>
        <w:framePr w:w="5491" w:x="1190" w:y="741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若仍</w:t>
      </w:r>
      <w:r>
        <w:rPr>
          <w:rFonts w:ascii="FangSong" w:hAnsi="FangSong" w:cs="FangSong"/>
          <w:color w:val="000000"/>
          <w:spacing w:val="0"/>
          <w:sz w:val="22"/>
        </w:rPr>
        <w:t>异常请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81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8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84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90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(3.27 x10^9/L)[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9085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4856" w:x="1190" w:y="908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胚抗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(5.54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胃肠道恶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同程度升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101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时，请进一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108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491" w:x="1190" w:y="11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(0.91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115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237" w:x="1190" w:y="121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25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28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587" w:x="1190" w:y="131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5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35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35.1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35.1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:2018-05-04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28.52,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141mmHg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2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1408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;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8" w:x="2210" w:y="6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肝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8" w:x="2210" w:y="667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140/</w:t>
      </w:r>
    </w:p>
    <w:p>
      <w:pPr>
        <w:pStyle w:val="Normal"/>
        <w:framePr w:w="3708" w:x="2210" w:y="66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8" w:x="2210" w:y="66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012" w:x="2210" w:y="7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6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8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5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9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9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8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365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2210" w:y="12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3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72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72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0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0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03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40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4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3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4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17.3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88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25.55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93.6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80.1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17.7pt;z-index:-187;width:507pt;height:26.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248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3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43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9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9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52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610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6101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6101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6101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8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8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9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9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9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6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10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80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80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12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2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2003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8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80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8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31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4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435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435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1334.17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220.9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83.3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20.8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21.7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59.3pt;z-index:-215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18.8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56.25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95.9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33.4pt;z-index:-231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1.06</w:t>
      </w:r>
    </w:p>
    <w:p>
      <w:pPr>
        <w:pStyle w:val="Normal"/>
        <w:framePr w:w="2011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099" w:x="92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4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8.8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46.25pt;z-index:-251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84.75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4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61.55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弥</w:t>
      </w:r>
      <w:r>
        <w:rPr>
          <w:rFonts w:ascii="FangSong" w:hAnsi="FangSong" w:cs="FangSong"/>
          <w:color w:val="000000"/>
          <w:spacing w:val="0"/>
          <w:sz w:val="22"/>
        </w:rPr>
        <w:t>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弥</w:t>
      </w:r>
      <w:r>
        <w:rPr>
          <w:rFonts w:ascii="FangSong" w:hAnsi="FangSong" w:cs="FangSong"/>
          <w:color w:val="000000"/>
          <w:spacing w:val="0"/>
          <w:sz w:val="22"/>
        </w:rPr>
        <w:t>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324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130mm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86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27mm,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16mmx9mm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618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见粗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618" w:x="4150" w:y="116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弥</w:t>
      </w:r>
      <w:r>
        <w:rPr>
          <w:rFonts w:ascii="FangSong" w:hAnsi="FangSong" w:cs="FangSong"/>
          <w:color w:val="000000"/>
          <w:spacing w:val="0"/>
          <w:sz w:val="22"/>
        </w:rPr>
        <w:t>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脾脏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2018-04-28</w:t>
      </w:r>
    </w:p>
    <w:p>
      <w:pPr>
        <w:pStyle w:val="Normal"/>
        <w:framePr w:w="2788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317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2018-04-28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23.3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：牛宝源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2018-04-28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56.3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1.84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500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：牛宝源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131804280057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281.2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1.64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4.91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5.27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11.28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1.476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0.525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0.36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282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296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16.8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30.5pt;z-index:-40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WEEF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03f3612-0000-0000-0000-000000000000}"/>
  </w:font>
  <w:font w:name="WSBNEI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a02ffac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UPKLG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446e52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2914</Words>
  <Characters>6088</Characters>
  <Application>Aspose</Application>
  <DocSecurity>0</DocSecurity>
  <Lines>813</Lines>
  <Paragraphs>813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6473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2019-12-19T17:26:21+08:00</dcterms:created>
  <dcterms:modified xmlns:xsi="http://www.w3.org/2001/XMLSchema-instance" xmlns:dcterms="http://purl.org/dc/terms/" xsi:type="dcterms:W3CDTF">2019-12-19T17:26:21+08:00</dcterms:modified>
</coreProperties>
</file>