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18"/>
        </w:rPr>
      </w:pPr>
      <w:r>
        <w:rPr>
          <w:rFonts w:ascii="GNABEB+MicrosoftYaHei" w:hAnsi="GNABEB+MicrosoftYaHei" w:cs="GNABEB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LULG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体检日期</w:t>
      </w:r>
      <w:r>
        <w:rPr>
          <w:rFonts w:ascii="LBLULG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姓名</w:t>
      </w:r>
      <w:r>
        <w:rPr>
          <w:rFonts w:ascii="LBLULG+MicrosoftYaHei"/>
          <w:color w:val="000000"/>
          <w:spacing w:val="0"/>
          <w:sz w:val="22"/>
        </w:rPr>
        <w:t xml:space="preserve">:  </w:t>
      </w:r>
      <w:r>
        <w:rPr>
          <w:rFonts w:ascii="GNABEB+MicrosoftYaHei" w:hAnsi="GNABEB+MicrosoftYaHei" w:cs="GNABEB+MicrosoftYaHei"/>
          <w:color w:val="000000"/>
          <w:spacing w:val="0"/>
          <w:sz w:val="22"/>
        </w:rPr>
        <w:t>刘向楠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LULG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卡号</w:t>
      </w:r>
      <w:r>
        <w:rPr>
          <w:rFonts w:ascii="LBLULG+MicrosoftYaHei"/>
          <w:color w:val="000000"/>
          <w:spacing w:val="0"/>
          <w:sz w:val="22"/>
        </w:rPr>
        <w:t xml:space="preserve">:  </w:t>
      </w:r>
      <w:r>
        <w:rPr>
          <w:rFonts w:ascii="LBLULG+MicrosoftYaHei"/>
          <w:color w:val="000000"/>
          <w:spacing w:val="0"/>
          <w:sz w:val="22"/>
        </w:rPr>
        <w:t>16014383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性别</w:t>
      </w:r>
      <w:r>
        <w:rPr>
          <w:rFonts w:ascii="LBLULG+MicrosoftYaHei"/>
          <w:color w:val="000000"/>
          <w:spacing w:val="0"/>
          <w:sz w:val="22"/>
        </w:rPr>
        <w:t xml:space="preserve">: </w:t>
      </w:r>
      <w:r>
        <w:rPr>
          <w:rFonts w:ascii="GNABEB+MicrosoftYaHei" w:hAnsi="GNABEB+MicrosoftYaHei" w:cs="GNABEB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单位</w:t>
      </w:r>
      <w:r>
        <w:rPr>
          <w:rFonts w:ascii="LBLULG+MicrosoftYaHei"/>
          <w:color w:val="000000"/>
          <w:spacing w:val="0"/>
          <w:sz w:val="22"/>
        </w:rPr>
        <w:t xml:space="preserve">:  </w:t>
      </w:r>
      <w:r>
        <w:rPr>
          <w:rFonts w:ascii="GNABEB+MicrosoftYaHei" w:hAnsi="GNABEB+MicrosoftYaHei" w:cs="GNABEB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LBLULG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部门</w:t>
      </w:r>
      <w:r>
        <w:rPr>
          <w:rFonts w:ascii="LBLULG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LULG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联系方式</w:t>
      </w:r>
      <w:r>
        <w:rPr>
          <w:rFonts w:ascii="LBLULG+MicrosoftYaHei"/>
          <w:color w:val="000000"/>
          <w:spacing w:val="0"/>
          <w:sz w:val="22"/>
        </w:rPr>
        <w:t>:  136****4864</w:t>
      </w:r>
    </w:p>
    <w:p>
      <w:pPr>
        <w:pStyle w:val="Normal"/>
        <w:framePr w:w="3592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BLULG+MicrosoftYaHei"/>
          <w:color w:val="000000"/>
          <w:spacing w:val="0"/>
          <w:sz w:val="22"/>
        </w:rPr>
      </w:pPr>
      <w:r>
        <w:rPr>
          <w:rFonts w:ascii="GNABEB+MicrosoftYaHei" w:hAnsi="GNABEB+MicrosoftYaHei" w:cs="GNABEB+MicrosoftYaHei"/>
          <w:color w:val="000000"/>
          <w:spacing w:val="0"/>
          <w:sz w:val="22"/>
        </w:rPr>
        <w:t>身份证号</w:t>
      </w:r>
      <w:r>
        <w:rPr>
          <w:rFonts w:ascii="LBLULG+MicrosoftYaHei"/>
          <w:color w:val="000000"/>
          <w:spacing w:val="0"/>
          <w:sz w:val="22"/>
        </w:rPr>
        <w:t>: 110108********451X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28"/>
        </w:rPr>
      </w:pPr>
      <w:r>
        <w:rPr>
          <w:rFonts w:ascii="GNABEB+MicrosoftYaHei" w:hAnsi="GNABEB+MicrosoftYaHei" w:cs="GNABEB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NABEB+MicrosoftYaHei" w:hAnsi="GNABEB+MicrosoftYaHei" w:cs="GNABEB+MicrosoftYaHei"/>
          <w:color w:val="000000"/>
          <w:spacing w:val="0"/>
          <w:sz w:val="28"/>
        </w:rPr>
      </w:pPr>
      <w:r>
        <w:rPr>
          <w:rFonts w:ascii="GNABEB+MicrosoftYaHei" w:hAnsi="GNABEB+MicrosoftYaHei" w:cs="GNABEB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尊敬的刘向楠先生：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LBSVAU+Wingdings-Regular" w:hAnsi="LBSVAU+Wingdings-Regular" w:cs="LBSVAU+Wingdings-Regular"/>
          <w:color w:val="000000"/>
          <w:spacing w:val="0"/>
          <w:sz w:val="23"/>
        </w:rPr>
      </w:pPr>
      <w:r>
        <w:rPr>
          <w:rFonts w:ascii="LBSVAU+Wingdings-Regular" w:hAnsi="LBSVAU+Wingdings-Regular" w:cs="LBSVAU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BSVAU+Wingdings-Regular" w:hAnsi="LBSVAU+Wingdings-Regular" w:cs="LBSVAU+Wingdings-Regular"/>
          <w:color w:val="000000"/>
          <w:spacing w:val="0"/>
          <w:sz w:val="23"/>
        </w:rPr>
      </w:pPr>
      <w:r>
        <w:rPr>
          <w:rFonts w:ascii="LBSVAU+Wingdings-Regular" w:hAnsi="LBSVAU+Wingdings-Regular" w:cs="LBSVA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刘向楠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22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(5.23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重要的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分为：</w:t>
      </w:r>
      <w:r>
        <w:rPr>
          <w:rFonts w:ascii="FangSong"/>
          <w:color w:val="000000"/>
          <w:spacing w:val="0"/>
          <w:sz w:val="22"/>
        </w:rPr>
        <w:t>1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和高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和脂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热量摄入过多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遗传基因缺陷等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继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药物等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础措施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需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123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3" w:x="1190" w:y="63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0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965" w:x="1190" w:y="74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氮增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(8.01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能会</w:t>
      </w:r>
      <w:r>
        <w:rPr>
          <w:rFonts w:ascii="FangSong" w:hAnsi="FangSong" w:cs="FangSong"/>
          <w:color w:val="000000"/>
          <w:spacing w:val="0"/>
          <w:sz w:val="22"/>
        </w:rPr>
        <w:t>轻度影响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氮</w:t>
      </w:r>
      <w:r>
        <w:rPr>
          <w:rFonts w:ascii="FangSong" w:hAnsi="FangSong" w:cs="FangSong"/>
          <w:color w:val="000000"/>
          <w:spacing w:val="0"/>
          <w:sz w:val="22"/>
        </w:rPr>
        <w:t>的检查结果，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肾</w:t>
      </w:r>
    </w:p>
    <w:p>
      <w:pPr>
        <w:pStyle w:val="Normal"/>
        <w:framePr w:w="10411" w:x="1440" w:y="782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病、其它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84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88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员可低</w:t>
      </w:r>
    </w:p>
    <w:p>
      <w:pPr>
        <w:pStyle w:val="Normal"/>
        <w:framePr w:w="10532" w:x="1440" w:y="88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88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缓或伴胸闷气短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105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05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11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:2018-05-02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48.7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48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24.32,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6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67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297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1396.19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7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1810" w:x="9480" w:y="141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493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93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93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93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27.2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4.65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24.7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62.3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07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986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18mmx11mm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9.3pt;margin-top:146pt;z-index:-283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5078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5078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3.2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：刘向楠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2.82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31.6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：刘向楠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8.01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320.2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1.26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21.53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0.34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：刘向楠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131804270101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NABEB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f2857e9-0000-0000-0000-000000000000}"/>
  </w:font>
  <w:font w:name="LBLULG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93a2e0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BSVA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a1c71a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2666</Words>
  <Characters>5787</Characters>
  <Application>Aspose</Application>
  <DocSecurity>0</DocSecurity>
  <Lines>800</Lines>
  <Paragraphs>800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6194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2019-12-19T17:26:37+08:00</dcterms:created>
  <dcterms:modified xmlns:xsi="http://www.w3.org/2001/XMLSchema-instance" xmlns:dcterms="http://purl.org/dc/terms/" xsi:type="dcterms:W3CDTF">2019-12-19T17:26:37+08:00</dcterms:modified>
</coreProperties>
</file>