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THHQLD+MicrosoftYaHei" w:hAnsi="THHQLD+MicrosoftYaHei" w:cs="THHQLD+MicrosoftYaHei"/>
          <w:color w:val="000000"/>
          <w:spacing w:val="0"/>
          <w:sz w:val="18"/>
        </w:rPr>
      </w:pPr>
      <w:r>
        <w:rPr>
          <w:rFonts w:ascii="THHQLD+MicrosoftYaHei" w:hAnsi="THHQLD+MicrosoftYaHei" w:cs="THHQLD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LLRCO+MicrosoftYaHei"/>
          <w:color w:val="000000"/>
          <w:spacing w:val="0"/>
          <w:sz w:val="22"/>
        </w:rPr>
      </w:pPr>
      <w:r>
        <w:rPr>
          <w:rFonts w:ascii="THHQLD+MicrosoftYaHei" w:hAnsi="THHQLD+MicrosoftYaHei" w:cs="THHQLD+MicrosoftYaHei"/>
          <w:color w:val="000000"/>
          <w:spacing w:val="0"/>
          <w:sz w:val="22"/>
        </w:rPr>
        <w:t>体检日期</w:t>
      </w:r>
      <w:r>
        <w:rPr>
          <w:rFonts w:ascii="NLLRCO+MicrosoftYaHei"/>
          <w:color w:val="000000"/>
          <w:spacing w:val="0"/>
          <w:sz w:val="22"/>
        </w:rPr>
        <w:t>:  2018-05-17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THHQLD+MicrosoftYaHei" w:hAnsi="THHQLD+MicrosoftYaHei" w:cs="THHQLD+MicrosoftYaHei"/>
          <w:color w:val="000000"/>
          <w:spacing w:val="0"/>
          <w:sz w:val="22"/>
        </w:rPr>
      </w:pPr>
      <w:r>
        <w:rPr>
          <w:rFonts w:ascii="THHQLD+MicrosoftYaHei" w:hAnsi="THHQLD+MicrosoftYaHei" w:cs="THHQLD+MicrosoftYaHei"/>
          <w:color w:val="000000"/>
          <w:spacing w:val="0"/>
          <w:sz w:val="22"/>
        </w:rPr>
        <w:t>姓名</w:t>
      </w:r>
      <w:r>
        <w:rPr>
          <w:rFonts w:ascii="NLLRCO+MicrosoftYaHei"/>
          <w:color w:val="000000"/>
          <w:spacing w:val="0"/>
          <w:sz w:val="22"/>
        </w:rPr>
        <w:t xml:space="preserve">:  </w:t>
      </w:r>
      <w:r>
        <w:rPr>
          <w:rFonts w:ascii="THHQLD+MicrosoftYaHei" w:hAnsi="THHQLD+MicrosoftYaHei" w:cs="THHQLD+MicrosoftYaHei"/>
          <w:color w:val="000000"/>
          <w:spacing w:val="0"/>
          <w:sz w:val="22"/>
        </w:rPr>
        <w:t>殷胜利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LLRCO+MicrosoftYaHei"/>
          <w:color w:val="000000"/>
          <w:spacing w:val="0"/>
          <w:sz w:val="22"/>
        </w:rPr>
      </w:pPr>
      <w:r>
        <w:rPr>
          <w:rFonts w:ascii="THHQLD+MicrosoftYaHei" w:hAnsi="THHQLD+MicrosoftYaHei" w:cs="THHQLD+MicrosoftYaHei"/>
          <w:color w:val="000000"/>
          <w:spacing w:val="0"/>
          <w:sz w:val="22"/>
        </w:rPr>
        <w:t>卡号</w:t>
      </w:r>
      <w:r>
        <w:rPr>
          <w:rFonts w:ascii="NLLRCO+MicrosoftYaHei"/>
          <w:color w:val="000000"/>
          <w:spacing w:val="0"/>
          <w:sz w:val="22"/>
        </w:rPr>
        <w:t xml:space="preserve">:  </w:t>
      </w:r>
      <w:r>
        <w:rPr>
          <w:rFonts w:ascii="NLLRCO+MicrosoftYaHei"/>
          <w:color w:val="000000"/>
          <w:spacing w:val="0"/>
          <w:sz w:val="22"/>
        </w:rPr>
        <w:t>18052711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HHQLD+MicrosoftYaHei" w:hAnsi="THHQLD+MicrosoftYaHei" w:cs="THHQLD+MicrosoftYaHei"/>
          <w:color w:val="000000"/>
          <w:spacing w:val="0"/>
          <w:sz w:val="22"/>
        </w:rPr>
      </w:pPr>
      <w:r>
        <w:rPr>
          <w:rFonts w:ascii="THHQLD+MicrosoftYaHei" w:hAnsi="THHQLD+MicrosoftYaHei" w:cs="THHQLD+MicrosoftYaHei"/>
          <w:color w:val="000000"/>
          <w:spacing w:val="0"/>
          <w:sz w:val="22"/>
        </w:rPr>
        <w:t>性别</w:t>
      </w:r>
      <w:r>
        <w:rPr>
          <w:rFonts w:ascii="NLLRCO+MicrosoftYaHei"/>
          <w:color w:val="000000"/>
          <w:spacing w:val="0"/>
          <w:sz w:val="22"/>
        </w:rPr>
        <w:t xml:space="preserve">: </w:t>
      </w:r>
      <w:r>
        <w:rPr>
          <w:rFonts w:ascii="THHQLD+MicrosoftYaHei" w:hAnsi="THHQLD+MicrosoftYaHei" w:cs="THHQLD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HHQLD+MicrosoftYaHei" w:hAnsi="THHQLD+MicrosoftYaHei" w:cs="THHQLD+MicrosoftYaHei"/>
          <w:color w:val="000000"/>
          <w:spacing w:val="0"/>
          <w:sz w:val="22"/>
        </w:rPr>
      </w:pPr>
      <w:r>
        <w:rPr>
          <w:rFonts w:ascii="THHQLD+MicrosoftYaHei" w:hAnsi="THHQLD+MicrosoftYaHei" w:cs="THHQLD+MicrosoftYaHei"/>
          <w:color w:val="000000"/>
          <w:spacing w:val="0"/>
          <w:sz w:val="22"/>
        </w:rPr>
        <w:t>单位</w:t>
      </w:r>
      <w:r>
        <w:rPr>
          <w:rFonts w:ascii="NLLRCO+MicrosoftYaHei"/>
          <w:color w:val="000000"/>
          <w:spacing w:val="0"/>
          <w:sz w:val="22"/>
        </w:rPr>
        <w:t xml:space="preserve">:  </w:t>
      </w:r>
      <w:r>
        <w:rPr>
          <w:rFonts w:ascii="THHQLD+MicrosoftYaHei" w:hAnsi="THHQLD+MicrosoftYaHei" w:cs="THHQLD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NLLRCO+MicrosoftYaHei"/>
          <w:color w:val="000000"/>
          <w:spacing w:val="0"/>
          <w:sz w:val="22"/>
        </w:rPr>
      </w:pPr>
      <w:r>
        <w:rPr>
          <w:rFonts w:ascii="THHQLD+MicrosoftYaHei" w:hAnsi="THHQLD+MicrosoftYaHei" w:cs="THHQLD+MicrosoftYaHei"/>
          <w:color w:val="000000"/>
          <w:spacing w:val="0"/>
          <w:sz w:val="22"/>
        </w:rPr>
        <w:t>部门</w:t>
      </w:r>
      <w:r>
        <w:rPr>
          <w:rFonts w:ascii="NLLRCO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LLRCO+MicrosoftYaHei"/>
          <w:color w:val="000000"/>
          <w:spacing w:val="0"/>
          <w:sz w:val="22"/>
        </w:rPr>
      </w:pPr>
      <w:r>
        <w:rPr>
          <w:rFonts w:ascii="THHQLD+MicrosoftYaHei" w:hAnsi="THHQLD+MicrosoftYaHei" w:cs="THHQLD+MicrosoftYaHei"/>
          <w:color w:val="000000"/>
          <w:spacing w:val="0"/>
          <w:sz w:val="22"/>
        </w:rPr>
        <w:t>联系方式</w:t>
      </w:r>
      <w:r>
        <w:rPr>
          <w:rFonts w:ascii="NLLRCO+MicrosoftYaHei"/>
          <w:color w:val="000000"/>
          <w:spacing w:val="0"/>
          <w:sz w:val="22"/>
        </w:rPr>
        <w:t>:  139****9967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LLRCO+MicrosoftYaHei"/>
          <w:color w:val="000000"/>
          <w:spacing w:val="0"/>
          <w:sz w:val="22"/>
        </w:rPr>
      </w:pPr>
      <w:r>
        <w:rPr>
          <w:rFonts w:ascii="THHQLD+MicrosoftYaHei" w:hAnsi="THHQLD+MicrosoftYaHei" w:cs="THHQLD+MicrosoftYaHei"/>
          <w:color w:val="000000"/>
          <w:spacing w:val="0"/>
          <w:sz w:val="22"/>
        </w:rPr>
        <w:t>身份证号</w:t>
      </w:r>
      <w:r>
        <w:rPr>
          <w:rFonts w:ascii="NLLRCO+MicrosoftYaHei"/>
          <w:color w:val="000000"/>
          <w:spacing w:val="0"/>
          <w:sz w:val="22"/>
        </w:rPr>
        <w:t>: 110108********3414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HHQLD+MicrosoftYaHei" w:hAnsi="THHQLD+MicrosoftYaHei" w:cs="THHQLD+MicrosoftYaHei"/>
          <w:color w:val="000000"/>
          <w:spacing w:val="0"/>
          <w:sz w:val="28"/>
        </w:rPr>
      </w:pPr>
      <w:r>
        <w:rPr>
          <w:rFonts w:ascii="THHQLD+MicrosoftYaHei" w:hAnsi="THHQLD+MicrosoftYaHei" w:cs="THHQLD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HHQLD+MicrosoftYaHei" w:hAnsi="THHQLD+MicrosoftYaHei" w:cs="THHQLD+MicrosoftYaHei"/>
          <w:color w:val="000000"/>
          <w:spacing w:val="0"/>
          <w:sz w:val="28"/>
        </w:rPr>
      </w:pPr>
      <w:r>
        <w:rPr>
          <w:rFonts w:ascii="THHQLD+MicrosoftYaHei" w:hAnsi="THHQLD+MicrosoftYaHei" w:cs="THHQLD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尊敬的殷胜利先生：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8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WKBQOP+Wingdings-Regular" w:hAnsi="WKBQOP+Wingdings-Regular" w:cs="WKBQOP+Wingdings-Regular"/>
          <w:color w:val="000000"/>
          <w:spacing w:val="0"/>
          <w:sz w:val="23"/>
        </w:rPr>
      </w:pPr>
      <w:r>
        <w:rPr>
          <w:rFonts w:ascii="WKBQOP+Wingdings-Regular" w:hAnsi="WKBQOP+Wingdings-Regular" w:cs="WKBQOP+Wingdings-Regular"/>
          <w:color w:val="000000"/>
          <w:spacing w:val="0"/>
          <w:sz w:val="23"/>
        </w:rPr>
        <w:t>ü</w:t>
      </w:r>
    </w:p>
    <w:p>
      <w:pPr>
        <w:pStyle w:val="Normal"/>
        <w:framePr w:w="449" w:x="344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WKBQOP+Wingdings-Regular" w:hAnsi="WKBQOP+Wingdings-Regular" w:cs="WKBQOP+Wingdings-Regular"/>
          <w:color w:val="000000"/>
          <w:spacing w:val="0"/>
          <w:sz w:val="23"/>
        </w:rPr>
      </w:pPr>
      <w:r>
        <w:rPr>
          <w:rFonts w:ascii="WKBQOP+Wingdings-Regular" w:hAnsi="WKBQOP+Wingdings-Regular" w:cs="WKBQOP+Wingdings-Regular"/>
          <w:color w:val="000000"/>
          <w:spacing w:val="0"/>
          <w:sz w:val="23"/>
        </w:rPr>
        <w:t>ü</w:t>
      </w:r>
    </w:p>
    <w:p>
      <w:pPr>
        <w:pStyle w:val="Normal"/>
        <w:framePr w:w="449" w:x="8035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WKBQOP+Wingdings-Regular" w:hAnsi="WKBQOP+Wingdings-Regular" w:cs="WKBQOP+Wingdings-Regular"/>
          <w:color w:val="000000"/>
          <w:spacing w:val="0"/>
          <w:sz w:val="23"/>
        </w:rPr>
      </w:pPr>
      <w:r>
        <w:rPr>
          <w:rFonts w:ascii="WKBQOP+Wingdings-Regular" w:hAnsi="WKBQOP+Wingdings-Regular" w:cs="WKBQOP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WKBQOP+Wingdings-Regular" w:hAnsi="WKBQOP+Wingdings-Regular" w:cs="WKBQOP+Wingdings-Regular"/>
          <w:color w:val="000000"/>
          <w:spacing w:val="0"/>
          <w:sz w:val="23"/>
        </w:rPr>
      </w:pPr>
      <w:r>
        <w:rPr>
          <w:rFonts w:ascii="WKBQOP+Wingdings-Regular" w:hAnsi="WKBQOP+Wingdings-Regular" w:cs="WKBQOP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殷胜利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856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(3.21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(0.85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967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(6.1 %)[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代</w:t>
      </w:r>
      <w:r>
        <w:rPr>
          <w:rFonts w:ascii="FangSong" w:hAnsi="FangSong" w:cs="FangSong"/>
          <w:color w:val="000000"/>
          <w:spacing w:val="0"/>
          <w:sz w:val="22"/>
        </w:rPr>
        <w:t>表近</w:t>
      </w:r>
      <w:r>
        <w:rPr>
          <w:rFonts w:ascii="FangSong"/>
          <w:color w:val="000000"/>
          <w:spacing w:val="0"/>
          <w:sz w:val="22"/>
        </w:rPr>
        <w:t>2-3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月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评价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控制程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整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；但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贫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8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 w:hAnsi="FangSong" w:cs="FangSong"/>
          <w:color w:val="000000"/>
          <w:spacing w:val="0"/>
          <w:sz w:val="22"/>
        </w:rPr>
        <w:t>异常时，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反映实际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965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05" w:x="1440" w:y="541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</w:p>
    <w:p>
      <w:pPr>
        <w:pStyle w:val="Normal"/>
        <w:framePr w:w="10405" w:x="1440" w:y="570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</w:p>
    <w:p>
      <w:pPr>
        <w:pStyle w:val="Normal"/>
        <w:framePr w:w="10405" w:x="1440" w:y="570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</w:p>
    <w:p>
      <w:pPr>
        <w:pStyle w:val="Normal"/>
        <w:framePr w:w="1903" w:x="1190" w:y="63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混合痔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6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附近内痔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相</w:t>
      </w:r>
      <w:r>
        <w:rPr>
          <w:rFonts w:ascii="FangSong" w:hAnsi="FangSong" w:cs="FangSong"/>
          <w:color w:val="000000"/>
          <w:spacing w:val="0"/>
          <w:sz w:val="22"/>
        </w:rPr>
        <w:t>融合而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便通</w:t>
      </w:r>
    </w:p>
    <w:p>
      <w:pPr>
        <w:pStyle w:val="Normal"/>
        <w:framePr w:w="10157" w:x="1440" w:y="66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清洁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坐浴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711" w:x="1190" w:y="73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(128 g/L)[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7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失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胃炎胃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致铁吸收障碍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髓造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08" w:x="1440" w:y="76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妊娠等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967" w:x="1190" w:y="83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便</w:t>
      </w:r>
      <w:r>
        <w:rPr>
          <w:rFonts w:ascii="FangSong" w:hAnsi="FangSong" w:cs="FangSong"/>
          <w:color w:val="000000"/>
          <w:spacing w:val="0"/>
          <w:sz w:val="22"/>
        </w:rPr>
        <w:t>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弱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864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</w:t>
      </w:r>
      <w:r>
        <w:rPr>
          <w:rFonts w:ascii="FangSong" w:hAnsi="FangSong" w:cs="FangSong"/>
          <w:color w:val="000000"/>
          <w:spacing w:val="0"/>
          <w:sz w:val="22"/>
        </w:rPr>
        <w:t>损害等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9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94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视眼底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络膜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逆转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97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965" w:x="1190" w:y="104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氮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(7.91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7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能会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氮</w:t>
      </w:r>
      <w:r>
        <w:rPr>
          <w:rFonts w:ascii="FangSong" w:hAnsi="FangSong" w:cs="FangSong"/>
          <w:color w:val="000000"/>
          <w:spacing w:val="0"/>
          <w:sz w:val="22"/>
        </w:rPr>
        <w:t>的检查结果，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肾</w:t>
      </w:r>
    </w:p>
    <w:p>
      <w:pPr>
        <w:pStyle w:val="Normal"/>
        <w:framePr w:w="10411" w:x="1440" w:y="107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病、其它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著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092" w:x="119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谷胺酰转肽酶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(66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7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如胆石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道炎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胆汁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</w:p>
    <w:p>
      <w:pPr>
        <w:pStyle w:val="Normal"/>
        <w:framePr w:w="10411" w:x="1440" w:y="117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转移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酗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尤</w:t>
      </w:r>
      <w:r>
        <w:rPr>
          <w:rFonts w:ascii="FangSong" w:hAnsi="FangSong" w:cs="FangSong"/>
          <w:color w:val="000000"/>
          <w:spacing w:val="0"/>
          <w:sz w:val="22"/>
        </w:rPr>
        <w:t>其为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17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超等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资料综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，查</w:t>
      </w:r>
      <w:r>
        <w:rPr>
          <w:rFonts w:ascii="FangSong" w:hAnsi="FangSong" w:cs="FangSong"/>
          <w:color w:val="000000"/>
          <w:spacing w:val="0"/>
          <w:sz w:val="22"/>
        </w:rPr>
        <w:t>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587" w:x="1190" w:y="126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科其它病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栓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587" w:x="1190" w:y="1267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133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583" w:x="1440" w:y="1371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47.2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47.2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:2018-05-23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2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24.21,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0.92,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433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科其它病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肺</w:t>
      </w:r>
      <w:r>
        <w:rPr>
          <w:rFonts w:ascii="FangSong" w:hAnsi="FangSong" w:cs="FangSong"/>
          <w:color w:val="000000"/>
          <w:spacing w:val="0"/>
          <w:sz w:val="20"/>
        </w:rPr>
        <w:t>栓</w:t>
      </w:r>
      <w:r>
        <w:rPr>
          <w:rFonts w:ascii="FangSong" w:hAnsi="FangSong" w:cs="FangSong"/>
          <w:color w:val="000000"/>
          <w:spacing w:val="0"/>
          <w:sz w:val="20"/>
        </w:rPr>
        <w:t>塞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2433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2013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混合痔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104" w:x="805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混合痔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8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86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8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6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31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60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8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8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3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34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48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305.5pt;margin-top:553.4pt;z-index:-179;width:1pt;height:19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5.25pt;margin-top:591.55pt;z-index:-183;width:506.65pt;height:41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51.2pt;z-index:-18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688.75pt;z-index:-191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3.9pt;margin-top:770.35pt;z-index:-1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0pt;margin-top:0pt;z-index:-1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近</w:t>
      </w:r>
      <w:r>
        <w:rPr>
          <w:rFonts w:ascii="FangSong" w:hAnsi="FangSong" w:cs="FangSong"/>
          <w:color w:val="000000"/>
          <w:spacing w:val="0"/>
          <w:sz w:val="20"/>
        </w:rPr>
        <w:t>视眼底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豹纹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头颞侧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弧形斑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0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6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7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其胜</w:t>
      </w:r>
    </w:p>
    <w:p>
      <w:pPr>
        <w:pStyle w:val="Normal"/>
        <w:framePr w:w="902" w:x="1450" w:y="77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108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13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23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16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60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1.31,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1371.80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39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1.41</w:t>
      </w:r>
    </w:p>
    <w:p>
      <w:pPr>
        <w:pStyle w:val="Normal"/>
        <w:framePr w:w="1810" w:x="9480" w:y="143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0" style="position:absolute;margin-left:43.55pt;margin-top:44.1pt;z-index:-203;width:506.3pt;height:145.8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201.9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41.3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278.7pt;z-index:-21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379.6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417.2pt;z-index:-223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59.0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596.5pt;z-index:-231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36.2pt;z-index:-23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673.75pt;z-index:-239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70.7pt;margin-top:733.75pt;z-index:-243;width:537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5.95pt;margin-top:735.9pt;z-index:-247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70.35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87.1pt;z-index:-26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5.25pt;margin-top:125.6pt;z-index:-26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164.85pt;z-index:-2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4.9pt;margin-top:202.4pt;z-index:-275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70.35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质回声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远场回声衰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35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434" w:x="1975" w:y="14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7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2018-05-17</w:t>
      </w:r>
    </w:p>
    <w:p>
      <w:pPr>
        <w:pStyle w:val="Normal"/>
        <w:framePr w:w="2788" w:x="7747" w:y="14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3.55pt;margin-top:44.1pt;z-index:-28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125.85pt;z-index:-29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89.7pt;margin-top:146pt;z-index:-295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2018-05-17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22.7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：殷胜利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601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99" w:x="6398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7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293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：殷胜利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902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弱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</w:t>
      </w:r>
    </w:p>
    <w:p>
      <w:pPr>
        <w:pStyle w:val="Normal"/>
        <w:framePr w:w="499" w:x="6398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7.91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336.3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6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1.33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4.44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16.15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8.54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1.533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7.22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0.418</w:t>
      </w:r>
    </w:p>
    <w:p>
      <w:pPr>
        <w:pStyle w:val="Normal"/>
        <w:framePr w:w="803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0.27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4.35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206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312.7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326.35pt;z-index:-39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547.15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560.85pt;z-index:-39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18052711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：殷胜利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131805170098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603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2" style="position:absolute;margin-left:45.7pt;margin-top:29.95pt;z-index:-4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137.35pt;z-index:-41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HHQLD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bf9267b-0000-0000-0000-000000000000}"/>
  </w:font>
  <w:font w:name="NLLRCO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ac636663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WKBQOP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9fce34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2876</Words>
  <Characters>6009</Characters>
  <Application>Aspose</Application>
  <DocSecurity>0</DocSecurity>
  <Lines>818</Lines>
  <Paragraphs>818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6406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2019-12-19T17:27:06+08:00</dcterms:created>
  <dcterms:modified xmlns:xsi="http://www.w3.org/2001/XMLSchema-instance" xmlns:dcterms="http://purl.org/dc/terms/" xsi:type="dcterms:W3CDTF">2019-12-19T17:27:06+08:00</dcterms:modified>
</coreProperties>
</file>