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DEGFHV+MicrosoftYaHei" w:hAnsi="DEGFHV+MicrosoftYaHei" w:cs="DEGFHV+MicrosoftYaHei"/>
          <w:color w:val="000000"/>
          <w:spacing w:val="0"/>
          <w:sz w:val="18"/>
        </w:rPr>
      </w:pPr>
      <w:r>
        <w:rPr>
          <w:rFonts w:ascii="DEGFHV+MicrosoftYaHei" w:hAnsi="DEGFHV+MicrosoftYaHei" w:cs="DEGFHV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NOPPU+MicrosoftYaHei"/>
          <w:color w:val="000000"/>
          <w:spacing w:val="0"/>
          <w:sz w:val="22"/>
        </w:rPr>
      </w:pPr>
      <w:r>
        <w:rPr>
          <w:rFonts w:ascii="DEGFHV+MicrosoftYaHei" w:hAnsi="DEGFHV+MicrosoftYaHei" w:cs="DEGFHV+MicrosoftYaHei"/>
          <w:color w:val="000000"/>
          <w:spacing w:val="0"/>
          <w:sz w:val="22"/>
        </w:rPr>
        <w:t>体检日期</w:t>
      </w:r>
      <w:r>
        <w:rPr>
          <w:rFonts w:ascii="INOPPU+MicrosoftYaHei"/>
          <w:color w:val="000000"/>
          <w:spacing w:val="0"/>
          <w:sz w:val="22"/>
        </w:rPr>
        <w:t>:  2018-04-08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DEGFHV+MicrosoftYaHei" w:hAnsi="DEGFHV+MicrosoftYaHei" w:cs="DEGFHV+MicrosoftYaHei"/>
          <w:color w:val="000000"/>
          <w:spacing w:val="0"/>
          <w:sz w:val="22"/>
        </w:rPr>
      </w:pPr>
      <w:r>
        <w:rPr>
          <w:rFonts w:ascii="DEGFHV+MicrosoftYaHei" w:hAnsi="DEGFHV+MicrosoftYaHei" w:cs="DEGFHV+MicrosoftYaHei"/>
          <w:color w:val="000000"/>
          <w:spacing w:val="0"/>
          <w:sz w:val="22"/>
        </w:rPr>
        <w:t>姓名</w:t>
      </w:r>
      <w:r>
        <w:rPr>
          <w:rFonts w:ascii="INOPPU+MicrosoftYaHei"/>
          <w:color w:val="000000"/>
          <w:spacing w:val="0"/>
          <w:sz w:val="22"/>
        </w:rPr>
        <w:t xml:space="preserve">:  </w:t>
      </w:r>
      <w:r>
        <w:rPr>
          <w:rFonts w:ascii="DEGFHV+MicrosoftYaHei" w:hAnsi="DEGFHV+MicrosoftYaHei" w:cs="DEGFHV+MicrosoftYaHei"/>
          <w:color w:val="000000"/>
          <w:spacing w:val="0"/>
          <w:sz w:val="22"/>
        </w:rPr>
        <w:t>邰洪波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NOPPU+MicrosoftYaHei"/>
          <w:color w:val="000000"/>
          <w:spacing w:val="0"/>
          <w:sz w:val="22"/>
        </w:rPr>
      </w:pPr>
      <w:r>
        <w:rPr>
          <w:rFonts w:ascii="DEGFHV+MicrosoftYaHei" w:hAnsi="DEGFHV+MicrosoftYaHei" w:cs="DEGFHV+MicrosoftYaHei"/>
          <w:color w:val="000000"/>
          <w:spacing w:val="0"/>
          <w:sz w:val="22"/>
        </w:rPr>
        <w:t>卡号</w:t>
      </w:r>
      <w:r>
        <w:rPr>
          <w:rFonts w:ascii="INOPPU+MicrosoftYaHei"/>
          <w:color w:val="000000"/>
          <w:spacing w:val="0"/>
          <w:sz w:val="22"/>
        </w:rPr>
        <w:t xml:space="preserve">:  </w:t>
      </w:r>
      <w:r>
        <w:rPr>
          <w:rFonts w:ascii="INOPPU+MicrosoftYaHei"/>
          <w:color w:val="000000"/>
          <w:spacing w:val="0"/>
          <w:sz w:val="22"/>
        </w:rPr>
        <w:t>16013419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EGFHV+MicrosoftYaHei" w:hAnsi="DEGFHV+MicrosoftYaHei" w:cs="DEGFHV+MicrosoftYaHei"/>
          <w:color w:val="000000"/>
          <w:spacing w:val="0"/>
          <w:sz w:val="22"/>
        </w:rPr>
      </w:pPr>
      <w:r>
        <w:rPr>
          <w:rFonts w:ascii="DEGFHV+MicrosoftYaHei" w:hAnsi="DEGFHV+MicrosoftYaHei" w:cs="DEGFHV+MicrosoftYaHei"/>
          <w:color w:val="000000"/>
          <w:spacing w:val="0"/>
          <w:sz w:val="22"/>
        </w:rPr>
        <w:t>性别</w:t>
      </w:r>
      <w:r>
        <w:rPr>
          <w:rFonts w:ascii="INOPPU+MicrosoftYaHei"/>
          <w:color w:val="000000"/>
          <w:spacing w:val="0"/>
          <w:sz w:val="22"/>
        </w:rPr>
        <w:t xml:space="preserve">: </w:t>
      </w:r>
      <w:r>
        <w:rPr>
          <w:rFonts w:ascii="DEGFHV+MicrosoftYaHei" w:hAnsi="DEGFHV+MicrosoftYaHei" w:cs="DEGFHV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EGFHV+MicrosoftYaHei" w:hAnsi="DEGFHV+MicrosoftYaHei" w:cs="DEGFHV+MicrosoftYaHei"/>
          <w:color w:val="000000"/>
          <w:spacing w:val="0"/>
          <w:sz w:val="22"/>
        </w:rPr>
      </w:pPr>
      <w:r>
        <w:rPr>
          <w:rFonts w:ascii="DEGFHV+MicrosoftYaHei" w:hAnsi="DEGFHV+MicrosoftYaHei" w:cs="DEGFHV+MicrosoftYaHei"/>
          <w:color w:val="000000"/>
          <w:spacing w:val="0"/>
          <w:sz w:val="22"/>
        </w:rPr>
        <w:t>单位</w:t>
      </w:r>
      <w:r>
        <w:rPr>
          <w:rFonts w:ascii="INOPPU+MicrosoftYaHei"/>
          <w:color w:val="000000"/>
          <w:spacing w:val="0"/>
          <w:sz w:val="22"/>
        </w:rPr>
        <w:t xml:space="preserve">:  </w:t>
      </w:r>
      <w:r>
        <w:rPr>
          <w:rFonts w:ascii="DEGFHV+MicrosoftYaHei" w:hAnsi="DEGFHV+MicrosoftYaHei" w:cs="DEGFHV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NOPPU+MicrosoftYaHei"/>
          <w:color w:val="000000"/>
          <w:spacing w:val="0"/>
          <w:sz w:val="22"/>
        </w:rPr>
      </w:pPr>
      <w:r>
        <w:rPr>
          <w:rFonts w:ascii="DEGFHV+MicrosoftYaHei" w:hAnsi="DEGFHV+MicrosoftYaHei" w:cs="DEGFHV+MicrosoftYaHei"/>
          <w:color w:val="000000"/>
          <w:spacing w:val="0"/>
          <w:sz w:val="22"/>
        </w:rPr>
        <w:t>部门</w:t>
      </w:r>
      <w:r>
        <w:rPr>
          <w:rFonts w:ascii="INOPPU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NOPPU+MicrosoftYaHei"/>
          <w:color w:val="000000"/>
          <w:spacing w:val="0"/>
          <w:sz w:val="22"/>
        </w:rPr>
      </w:pPr>
      <w:r>
        <w:rPr>
          <w:rFonts w:ascii="DEGFHV+MicrosoftYaHei" w:hAnsi="DEGFHV+MicrosoftYaHei" w:cs="DEGFHV+MicrosoftYaHei"/>
          <w:color w:val="000000"/>
          <w:spacing w:val="0"/>
          <w:sz w:val="22"/>
        </w:rPr>
        <w:t>联系方式</w:t>
      </w:r>
      <w:r>
        <w:rPr>
          <w:rFonts w:ascii="INOPPU+MicrosoftYaHei"/>
          <w:color w:val="000000"/>
          <w:spacing w:val="0"/>
          <w:sz w:val="22"/>
        </w:rPr>
        <w:t>:  138****5657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NOPPU+MicrosoftYaHei"/>
          <w:color w:val="000000"/>
          <w:spacing w:val="0"/>
          <w:sz w:val="22"/>
        </w:rPr>
      </w:pPr>
      <w:r>
        <w:rPr>
          <w:rFonts w:ascii="DEGFHV+MicrosoftYaHei" w:hAnsi="DEGFHV+MicrosoftYaHei" w:cs="DEGFHV+MicrosoftYaHei"/>
          <w:color w:val="000000"/>
          <w:spacing w:val="0"/>
          <w:sz w:val="22"/>
        </w:rPr>
        <w:t>身份证号</w:t>
      </w:r>
      <w:r>
        <w:rPr>
          <w:rFonts w:ascii="INOPPU+MicrosoftYaHei"/>
          <w:color w:val="000000"/>
          <w:spacing w:val="0"/>
          <w:sz w:val="22"/>
        </w:rPr>
        <w:t>: 110106********1210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DEGFHV+MicrosoftYaHei" w:hAnsi="DEGFHV+MicrosoftYaHei" w:cs="DEGFHV+MicrosoftYaHei"/>
          <w:color w:val="000000"/>
          <w:spacing w:val="0"/>
          <w:sz w:val="28"/>
        </w:rPr>
      </w:pPr>
      <w:r>
        <w:rPr>
          <w:rFonts w:ascii="DEGFHV+MicrosoftYaHei" w:hAnsi="DEGFHV+MicrosoftYaHei" w:cs="DEGFHV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DEGFHV+MicrosoftYaHei" w:hAnsi="DEGFHV+MicrosoftYaHei" w:cs="DEGFHV+MicrosoftYaHei"/>
          <w:color w:val="000000"/>
          <w:spacing w:val="0"/>
          <w:sz w:val="28"/>
        </w:rPr>
      </w:pPr>
      <w:r>
        <w:rPr>
          <w:rFonts w:ascii="DEGFHV+MicrosoftYaHei" w:hAnsi="DEGFHV+MicrosoftYaHei" w:cs="DEGFHV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尊敬的邰洪波先生：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08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IFQIA+Wingdings-Regular" w:hAnsi="KIFQIA+Wingdings-Regular" w:cs="KIFQIA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KIFQIA+Wingdings-Regular" w:hAnsi="KIFQIA+Wingdings-Regular" w:cs="KIFQIA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IFQIA+Wingdings-Regular" w:hAnsi="KIFQIA+Wingdings-Regular" w:cs="KIFQIA+Wingdings-Regular"/>
          <w:color w:val="000000"/>
          <w:spacing w:val="0"/>
          <w:sz w:val="23"/>
        </w:rPr>
      </w:pPr>
      <w:r>
        <w:rPr>
          <w:rFonts w:ascii="KIFQIA+Wingdings-Regular" w:hAnsi="KIFQIA+Wingdings-Regular" w:cs="KIFQIA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邰洪波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952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(2+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如剧烈运动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精神紧张等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纠正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情况后复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可恢复正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常。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病理性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各类急</w:t>
      </w:r>
      <w:r>
        <w:rPr>
          <w:rFonts w:ascii="FangSong" w:hAnsi="FangSong" w:cs="FangSong"/>
          <w:color w:val="000000"/>
          <w:spacing w:val="0"/>
          <w:sz w:val="22"/>
        </w:rPr>
        <w:t>、慢性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药物毒副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免疫</w:t>
      </w:r>
      <w:r>
        <w:rPr>
          <w:rFonts w:ascii="FangSong" w:hAnsi="FangSong" w:cs="FangSong"/>
          <w:color w:val="000000"/>
          <w:spacing w:val="0"/>
          <w:sz w:val="22"/>
        </w:rPr>
        <w:t>性疾病、</w:t>
      </w:r>
      <w:r>
        <w:rPr>
          <w:rFonts w:ascii="FangSong" w:hAnsi="FangSong" w:cs="FangSong"/>
          <w:color w:val="000000"/>
          <w:spacing w:val="0"/>
          <w:sz w:val="22"/>
        </w:rPr>
        <w:t>妊娠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压综合</w:t>
      </w:r>
      <w:r>
        <w:rPr>
          <w:rFonts w:ascii="FangSong" w:hAnsi="FangSong" w:cs="FangSong"/>
          <w:color w:val="000000"/>
          <w:spacing w:val="0"/>
          <w:sz w:val="22"/>
        </w:rPr>
        <w:t>征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。建议及时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为阳性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应到医院专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4856" w:x="1190" w:y="36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39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(3.04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(0.88 mmol/L)</w:t>
      </w:r>
    </w:p>
    <w:p>
      <w:pPr>
        <w:pStyle w:val="Normal"/>
        <w:framePr w:w="10154" w:x="1440" w:y="39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39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9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965" w:x="1190" w:y="53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57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建议：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</w:t>
      </w:r>
    </w:p>
    <w:p>
      <w:pPr>
        <w:pStyle w:val="Normal"/>
        <w:framePr w:w="10411" w:x="1440" w:y="57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</w:p>
    <w:p>
      <w:pPr>
        <w:pStyle w:val="Normal"/>
        <w:framePr w:w="3836" w:x="1190" w:y="63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扁桃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36" w:x="1190" w:y="6347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3836" w:x="1190" w:y="634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73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73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80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回声欠均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8363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836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增厚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90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90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6501" w:x="1190" w:y="9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(3+ 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/>
          <w:color w:val="000000"/>
          <w:spacing w:val="0"/>
          <w:sz w:val="22"/>
        </w:rPr>
        <w:t>(20-30 /HPF)[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00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粘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剧烈运动等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8" w:x="1440" w:y="100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8" w:x="1440" w:y="1002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10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度饮酒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动等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17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475" w:x="1190" w:y="123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475" w:x="1190" w:y="12392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207" w:x="1190" w:y="130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13081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3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08" w:x="1440" w:y="1371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43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43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45.6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45.6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:2018-04-12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89.4Kg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28.70,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0.91,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134mmHg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3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47.05pt;z-index:-179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27.2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64.6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910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扁桃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肥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8050" w:y="53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双侧</w:t>
      </w:r>
      <w:r>
        <w:rPr>
          <w:rFonts w:ascii="FangSong" w:hAnsi="FangSong" w:cs="FangSong"/>
          <w:color w:val="000000"/>
          <w:spacing w:val="0"/>
          <w:sz w:val="20"/>
        </w:rPr>
        <w:t>扁桃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9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9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9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9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9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9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9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86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86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0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1027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10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2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10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106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87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2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31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41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41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7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-2.02,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7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1319.28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1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-2.00</w:t>
      </w:r>
    </w:p>
    <w:p>
      <w:pPr>
        <w:pStyle w:val="Normal"/>
        <w:framePr w:w="1810" w:x="9480" w:y="14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562"/>
        <w:widowControl w:val="off"/>
        <w:autoSpaceDE w:val="off"/>
        <w:autoSpaceDN w:val="off"/>
        <w:spacing w:before="0" w:after="0" w:line="1112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1" w:x="1450" w:y="150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5.25pt;margin-top:294.7pt;z-index:-211;width:506.65pt;height:61.9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74.8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12.4pt;z-index:-219;width:507pt;height:141.1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71.9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09.3pt;z-index:-227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49.05pt;z-index:-2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86.5pt;z-index:-235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70.7pt;margin-top:746.6pt;z-index:-239;width:537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5.95pt;margin-top:748.75pt;z-index:-243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70.35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5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2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40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43.55pt;margin-top:44.1pt;z-index:-255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87.1pt;z-index:-25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5.25pt;margin-top:125.6pt;z-index:-26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164.85pt;z-index:-26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202.4pt;z-index:-271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实质</w:t>
      </w:r>
      <w:r>
        <w:rPr>
          <w:rFonts w:ascii="FangSong" w:hAnsi="FangSong" w:cs="FangSong"/>
          <w:color w:val="000000"/>
          <w:spacing w:val="0"/>
          <w:sz w:val="22"/>
        </w:rPr>
        <w:t>回声轻度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544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回声欠均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986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回声欠均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237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1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增厚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内膜粗糙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09.3pt;margin-top:146pt;z-index:-295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69.7pt;margin-top:146pt;z-index:-299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增厚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回声欠均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2018-04-08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2018-04-08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25.85pt;z-index:-3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89.7pt;margin-top:146pt;z-index:-331;width:229.2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66.4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24pt;margin-top:54.15pt;z-index:-34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3.65pt;margin-top:28.95pt;z-index:-34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29.3pt;margin-top:102.05pt;z-index:-35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15.5pt;margin-top:525.05pt;z-index:-35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29.3pt;margin-top:29.95pt;z-index:-36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32.15pt;margin-top:77.25pt;z-index:-36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：邰洪波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2018-04-08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2018-04-08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7.28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601" w:x="515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601" w:x="5150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146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327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197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5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2+</w:t>
      </w:r>
    </w:p>
    <w:p>
      <w:pPr>
        <w:pStyle w:val="Normal"/>
        <w:framePr w:w="5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803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20-30</w:t>
      </w:r>
    </w:p>
    <w:p>
      <w:pPr>
        <w:pStyle w:val="Normal"/>
        <w:framePr w:w="803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601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160.75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174.45pt;z-index:-38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：邰洪波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2018-04-08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2018-04-08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306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到</w:t>
      </w:r>
      <w:r>
        <w:rPr>
          <w:rFonts w:ascii="FangSong" w:hAnsi="FangSong" w:cs="FangSong"/>
          <w:color w:val="000000"/>
          <w:spacing w:val="0"/>
          <w:sz w:val="20"/>
        </w:rPr>
        <w:t>粘液</w:t>
      </w:r>
      <w:r>
        <w:rPr>
          <w:rFonts w:ascii="FangSong" w:hAnsi="FangSong" w:cs="FangSong"/>
          <w:color w:val="000000"/>
          <w:spacing w:val="0"/>
          <w:sz w:val="20"/>
        </w:rPr>
        <w:t>丝</w:t>
      </w:r>
    </w:p>
    <w:p>
      <w:pPr>
        <w:pStyle w:val="Normal"/>
        <w:framePr w:w="1306" w:x="5150" w:y="342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701" w:x="5150" w:y="4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7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</w:t>
      </w:r>
      <w:r>
        <w:rPr>
          <w:rFonts w:ascii="FangSong" w:hAnsi="FangSong" w:cs="FangSong"/>
          <w:color w:val="000000"/>
          <w:spacing w:val="0"/>
          <w:sz w:val="20"/>
        </w:rPr>
        <w:t>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4.04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370.2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2.14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5.15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19.98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14.82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0.678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0.216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0.32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0.57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2.25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312.7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326.35pt;z-index:-40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2.7pt;margin-top:547.15pt;z-index:-4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4.3pt;margin-top:560.85pt;z-index:-415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：邰洪波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2018-04-08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131804080007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2018-04-08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6" style="position:absolute;margin-left:45.7pt;margin-top:29.95pt;z-index:-42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137.35pt;z-index:-431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43.9pt;margin-top:776.6pt;z-index:-4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0pt;margin-top:0pt;z-index:-4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DEGFHV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dcbc657-0000-0000-0000-000000000000}"/>
  </w:font>
  <w:font w:name="INOPPU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868e1a46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KIFQIA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777187e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styles" Target="styles.xml" /><Relationship Id="rId112" Type="http://schemas.openxmlformats.org/officeDocument/2006/relationships/fontTable" Target="fontTable.xml" /><Relationship Id="rId113" Type="http://schemas.openxmlformats.org/officeDocument/2006/relationships/settings" Target="settings.xml" /><Relationship Id="rId114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2927</Words>
  <Characters>6186</Characters>
  <Application>Aspose</Application>
  <DocSecurity>0</DocSecurity>
  <Lines>816</Lines>
  <Paragraphs>816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6594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2019-12-19T17:27:23+08:00</dcterms:created>
  <dcterms:modified xmlns:xsi="http://www.w3.org/2001/XMLSchema-instance" xmlns:dcterms="http://purl.org/dc/terms/" xsi:type="dcterms:W3CDTF">2019-12-19T17:27:23+08:00</dcterms:modified>
</coreProperties>
</file>